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14" w:rsidRPr="00EA2C81" w:rsidRDefault="00896714" w:rsidP="00896714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-146685</wp:posOffset>
            </wp:positionV>
            <wp:extent cx="428625" cy="485775"/>
            <wp:effectExtent l="0" t="0" r="9525" b="9525"/>
            <wp:wrapNone/>
            <wp:docPr id="2" name="Рисунок 2" descr="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896714" w:rsidRPr="00EA2C81" w:rsidTr="00896714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6714" w:rsidRPr="00EA2C81" w:rsidRDefault="00896714" w:rsidP="0089671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896714" w:rsidRPr="00EA2C81" w:rsidRDefault="00896714" w:rsidP="0089671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896714" w:rsidRPr="00EA2C81" w:rsidRDefault="00896714" w:rsidP="00896714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96714" w:rsidRPr="00EA2C81" w:rsidRDefault="00896714" w:rsidP="0089671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896714" w:rsidRPr="00EA2C81" w:rsidRDefault="00896714" w:rsidP="0089671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896714" w:rsidRPr="00EA2C81" w:rsidRDefault="00896714" w:rsidP="0089671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896714" w:rsidRPr="00EA2C81" w:rsidRDefault="00896714" w:rsidP="00896714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896714" w:rsidRPr="00896714" w:rsidTr="00896714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6714" w:rsidRPr="00896714" w:rsidRDefault="00896714" w:rsidP="00896714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896714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896714" w:rsidRPr="00896714" w:rsidRDefault="00896714" w:rsidP="00896714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896714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896714" w:rsidRPr="00896714" w:rsidRDefault="00896714" w:rsidP="00896714">
            <w:pPr>
              <w:rPr>
                <w:b/>
                <w:lang w:eastAsia="en-US"/>
              </w:rPr>
            </w:pPr>
          </w:p>
          <w:p w:rsidR="00896714" w:rsidRPr="00896714" w:rsidRDefault="00896714" w:rsidP="0089671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96714">
              <w:rPr>
                <w:b/>
                <w:sz w:val="28"/>
                <w:szCs w:val="28"/>
                <w:lang w:eastAsia="en-US"/>
              </w:rPr>
              <w:t>41-е (очередное) заседание 6-го созыва</w:t>
            </w:r>
          </w:p>
        </w:tc>
      </w:tr>
    </w:tbl>
    <w:p w:rsidR="00896714" w:rsidRPr="00EA2C81" w:rsidRDefault="00896714" w:rsidP="00896714">
      <w:pPr>
        <w:rPr>
          <w:b/>
          <w:sz w:val="26"/>
        </w:rPr>
      </w:pPr>
    </w:p>
    <w:p w:rsidR="00896714" w:rsidRPr="00896714" w:rsidRDefault="00896714" w:rsidP="00896714">
      <w:pPr>
        <w:rPr>
          <w:b/>
          <w:sz w:val="26"/>
          <w:szCs w:val="26"/>
          <w:u w:val="single"/>
        </w:rPr>
      </w:pPr>
      <w:r w:rsidRPr="00896714">
        <w:rPr>
          <w:b/>
          <w:sz w:val="26"/>
          <w:szCs w:val="26"/>
          <w:u w:val="single"/>
        </w:rPr>
        <w:t>от 28 августа 2025 г.</w:t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</w:r>
      <w:r w:rsidRPr="00896714">
        <w:rPr>
          <w:b/>
          <w:sz w:val="26"/>
          <w:szCs w:val="26"/>
        </w:rPr>
        <w:tab/>
        <w:t xml:space="preserve">  </w:t>
      </w:r>
      <w:r w:rsidRPr="00896714">
        <w:rPr>
          <w:b/>
          <w:sz w:val="26"/>
          <w:szCs w:val="26"/>
          <w:u w:val="single"/>
        </w:rPr>
        <w:t xml:space="preserve">№ 428 </w:t>
      </w:r>
    </w:p>
    <w:p w:rsidR="00896714" w:rsidRPr="00896714" w:rsidRDefault="00896714" w:rsidP="00896714">
      <w:pPr>
        <w:rPr>
          <w:sz w:val="26"/>
          <w:szCs w:val="26"/>
        </w:rPr>
      </w:pPr>
      <w:r w:rsidRPr="00896714">
        <w:rPr>
          <w:sz w:val="26"/>
          <w:szCs w:val="26"/>
        </w:rPr>
        <w:t>г. Ухта, Республика Коми</w:t>
      </w:r>
    </w:p>
    <w:p w:rsidR="009761CA" w:rsidRPr="00EA2C81" w:rsidRDefault="009761CA" w:rsidP="009761CA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9B15ED" w:rsidTr="009B15ED">
        <w:tc>
          <w:tcPr>
            <w:tcW w:w="4928" w:type="dxa"/>
          </w:tcPr>
          <w:p w:rsidR="001F6229" w:rsidRDefault="001F6229" w:rsidP="009B15ED">
            <w:pPr>
              <w:jc w:val="both"/>
              <w:rPr>
                <w:b/>
                <w:sz w:val="26"/>
                <w:szCs w:val="26"/>
              </w:rPr>
            </w:pPr>
          </w:p>
          <w:p w:rsidR="009B15ED" w:rsidRPr="0020437B" w:rsidRDefault="009B15ED" w:rsidP="009B15ED">
            <w:pPr>
              <w:jc w:val="both"/>
              <w:rPr>
                <w:b/>
                <w:sz w:val="26"/>
                <w:szCs w:val="26"/>
              </w:rPr>
            </w:pPr>
            <w:r w:rsidRPr="0020437B">
              <w:rPr>
                <w:b/>
                <w:sz w:val="26"/>
                <w:szCs w:val="26"/>
              </w:rPr>
              <w:t xml:space="preserve">Об утверждении </w:t>
            </w:r>
            <w:hyperlink r:id="rId10" w:anchor="P40" w:history="1">
              <w:r w:rsidRPr="0020437B">
                <w:rPr>
                  <w:b/>
                  <w:sz w:val="26"/>
                  <w:szCs w:val="26"/>
                </w:rPr>
                <w:t>Стратегии</w:t>
              </w:r>
            </w:hyperlink>
            <w:r w:rsidRPr="0020437B">
              <w:rPr>
                <w:b/>
                <w:sz w:val="26"/>
                <w:szCs w:val="26"/>
              </w:rPr>
              <w:t xml:space="preserve"> </w:t>
            </w:r>
          </w:p>
          <w:p w:rsidR="009B15ED" w:rsidRPr="0020437B" w:rsidRDefault="009B15ED" w:rsidP="009B15ED">
            <w:pPr>
              <w:jc w:val="both"/>
              <w:rPr>
                <w:b/>
                <w:sz w:val="24"/>
                <w:szCs w:val="24"/>
              </w:rPr>
            </w:pPr>
            <w:r w:rsidRPr="0020437B">
              <w:rPr>
                <w:b/>
                <w:sz w:val="26"/>
                <w:szCs w:val="26"/>
              </w:rPr>
              <w:t>социально-экономического развития муниципального округа «Ухта» на период до 2035 года</w:t>
            </w:r>
          </w:p>
          <w:p w:rsidR="001F6229" w:rsidRDefault="001F6229" w:rsidP="00C04AD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</w:tcPr>
          <w:p w:rsidR="009B15ED" w:rsidRDefault="009B15ED" w:rsidP="00C04ADB">
            <w:pPr>
              <w:rPr>
                <w:sz w:val="26"/>
                <w:szCs w:val="26"/>
              </w:rPr>
            </w:pPr>
          </w:p>
        </w:tc>
      </w:tr>
    </w:tbl>
    <w:p w:rsidR="00896714" w:rsidRDefault="00896714" w:rsidP="00896714">
      <w:pPr>
        <w:spacing w:after="1" w:line="26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53009">
        <w:rPr>
          <w:sz w:val="26"/>
          <w:szCs w:val="26"/>
        </w:rPr>
        <w:t>Руководствуясь Федеральным законом от 28.06.2014 №172-ФЗ «О стратегическом планировании в Российской Федерации», Уставом м</w:t>
      </w:r>
      <w:r w:rsidRPr="00553009">
        <w:rPr>
          <w:rFonts w:eastAsiaTheme="minorHAnsi"/>
          <w:sz w:val="26"/>
          <w:szCs w:val="26"/>
          <w:lang w:eastAsia="en-US"/>
        </w:rPr>
        <w:t xml:space="preserve">униципального округа «Ухта», Совет муниципального округа «Ухта» </w:t>
      </w:r>
      <w:r w:rsidRPr="00553009">
        <w:rPr>
          <w:rFonts w:eastAsia="Calibri"/>
          <w:b/>
          <w:sz w:val="26"/>
          <w:szCs w:val="26"/>
          <w:lang w:eastAsia="en-US"/>
        </w:rPr>
        <w:t>РЕШИЛ</w:t>
      </w:r>
      <w:r w:rsidRPr="00553009">
        <w:rPr>
          <w:rFonts w:eastAsia="Calibri"/>
          <w:sz w:val="26"/>
          <w:szCs w:val="26"/>
          <w:lang w:eastAsia="en-US"/>
        </w:rPr>
        <w:t>:</w:t>
      </w:r>
    </w:p>
    <w:p w:rsidR="00896714" w:rsidRPr="00553009" w:rsidRDefault="00896714" w:rsidP="00896714">
      <w:pPr>
        <w:spacing w:after="1" w:line="26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96714" w:rsidRPr="00553009" w:rsidRDefault="00896714" w:rsidP="00896714">
      <w:pPr>
        <w:widowControl w:val="0"/>
        <w:numPr>
          <w:ilvl w:val="0"/>
          <w:numId w:val="23"/>
        </w:numPr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53009">
        <w:rPr>
          <w:sz w:val="26"/>
          <w:szCs w:val="26"/>
        </w:rPr>
        <w:t xml:space="preserve">Утвердить </w:t>
      </w:r>
      <w:hyperlink w:anchor="P40">
        <w:r w:rsidRPr="00553009">
          <w:rPr>
            <w:sz w:val="26"/>
            <w:szCs w:val="26"/>
          </w:rPr>
          <w:t>Стратегию</w:t>
        </w:r>
      </w:hyperlink>
      <w:r w:rsidRPr="00553009">
        <w:rPr>
          <w:sz w:val="26"/>
          <w:szCs w:val="26"/>
        </w:rPr>
        <w:t xml:space="preserve"> социально-экономического развития муниципального округа  «Ухта» на период до 2035 года согласно приложению к настоящему решению.</w:t>
      </w:r>
    </w:p>
    <w:p w:rsidR="00896714" w:rsidRPr="00553009" w:rsidRDefault="00896714" w:rsidP="00896714">
      <w:pPr>
        <w:widowControl w:val="0"/>
        <w:numPr>
          <w:ilvl w:val="0"/>
          <w:numId w:val="23"/>
        </w:numPr>
        <w:autoSpaceDE w:val="0"/>
        <w:autoSpaceDN w:val="0"/>
        <w:ind w:left="0" w:firstLine="709"/>
        <w:jc w:val="both"/>
        <w:rPr>
          <w:strike/>
          <w:sz w:val="26"/>
          <w:szCs w:val="26"/>
        </w:rPr>
      </w:pPr>
      <w:r w:rsidRPr="00553009">
        <w:rPr>
          <w:sz w:val="26"/>
          <w:szCs w:val="26"/>
        </w:rPr>
        <w:t xml:space="preserve">Настоящее решение вступает в силу </w:t>
      </w:r>
      <w:r>
        <w:rPr>
          <w:sz w:val="26"/>
          <w:szCs w:val="26"/>
        </w:rPr>
        <w:t>с момента подписания</w:t>
      </w:r>
      <w:r w:rsidRPr="00553009">
        <w:rPr>
          <w:sz w:val="26"/>
          <w:szCs w:val="26"/>
        </w:rPr>
        <w:t xml:space="preserve"> и распространяется на правоотношения, возникшие с 01.01.2025, подлежит официальному опубликованию.</w:t>
      </w:r>
    </w:p>
    <w:p w:rsidR="009761CA" w:rsidRPr="00896714" w:rsidRDefault="00896714" w:rsidP="00896714">
      <w:pPr>
        <w:widowControl w:val="0"/>
        <w:numPr>
          <w:ilvl w:val="0"/>
          <w:numId w:val="23"/>
        </w:numPr>
        <w:autoSpaceDE w:val="0"/>
        <w:autoSpaceDN w:val="0"/>
        <w:ind w:left="0" w:firstLine="709"/>
        <w:jc w:val="both"/>
        <w:rPr>
          <w:sz w:val="26"/>
          <w:szCs w:val="26"/>
        </w:rPr>
      </w:pPr>
      <w:proofErr w:type="gramStart"/>
      <w:r w:rsidRPr="00553009">
        <w:rPr>
          <w:sz w:val="26"/>
          <w:szCs w:val="26"/>
        </w:rPr>
        <w:t>Контроль за</w:t>
      </w:r>
      <w:proofErr w:type="gramEnd"/>
      <w:r w:rsidRPr="00553009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</w:t>
      </w:r>
      <w:r w:rsidRPr="00553009">
        <w:rPr>
          <w:rFonts w:ascii="Calibri" w:eastAsiaTheme="minorEastAsia" w:hAnsi="Calibri" w:cs="Calibri"/>
          <w:sz w:val="26"/>
          <w:szCs w:val="26"/>
        </w:rPr>
        <w:t xml:space="preserve"> </w:t>
      </w:r>
      <w:r w:rsidRPr="00553009">
        <w:rPr>
          <w:sz w:val="26"/>
          <w:szCs w:val="26"/>
        </w:rPr>
        <w:t>по вопросам бюджета, экономической политики и предпринимательской деятельности.</w:t>
      </w:r>
    </w:p>
    <w:p w:rsidR="001F6229" w:rsidRPr="00553009" w:rsidRDefault="001F6229" w:rsidP="009761CA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9761CA" w:rsidRPr="00553009" w:rsidTr="00896714">
        <w:tc>
          <w:tcPr>
            <w:tcW w:w="5353" w:type="dxa"/>
            <w:shd w:val="clear" w:color="auto" w:fill="auto"/>
          </w:tcPr>
          <w:p w:rsidR="009761CA" w:rsidRPr="00553009" w:rsidRDefault="009761CA" w:rsidP="00CE6D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9761CA" w:rsidRPr="00553009" w:rsidRDefault="009761CA" w:rsidP="00EA68E8">
            <w:pPr>
              <w:autoSpaceDE w:val="0"/>
              <w:autoSpaceDN w:val="0"/>
              <w:adjustRightInd w:val="0"/>
              <w:ind w:right="-285"/>
              <w:rPr>
                <w:sz w:val="26"/>
                <w:szCs w:val="26"/>
              </w:rPr>
            </w:pPr>
          </w:p>
        </w:tc>
      </w:tr>
      <w:tr w:rsidR="009761CA" w:rsidRPr="00553009" w:rsidTr="00896714">
        <w:tc>
          <w:tcPr>
            <w:tcW w:w="5353" w:type="dxa"/>
            <w:shd w:val="clear" w:color="auto" w:fill="auto"/>
          </w:tcPr>
          <w:p w:rsidR="00896714" w:rsidRDefault="00896714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96714" w:rsidRDefault="00896714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C528C" w:rsidRPr="00553009" w:rsidRDefault="001C528C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96714" w:rsidRDefault="009761CA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Председатель Совета </w:t>
            </w:r>
          </w:p>
          <w:p w:rsidR="009761CA" w:rsidRDefault="009761CA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муниципального округа «Ухта»</w:t>
            </w:r>
          </w:p>
          <w:p w:rsidR="00896714" w:rsidRPr="00553009" w:rsidRDefault="00896714" w:rsidP="009761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Республики Коми</w:t>
            </w:r>
          </w:p>
        </w:tc>
        <w:tc>
          <w:tcPr>
            <w:tcW w:w="4394" w:type="dxa"/>
            <w:shd w:val="clear" w:color="auto" w:fill="auto"/>
          </w:tcPr>
          <w:p w:rsidR="009761CA" w:rsidRPr="00553009" w:rsidRDefault="009761CA" w:rsidP="009761C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9761CA" w:rsidRPr="00553009" w:rsidRDefault="009761CA" w:rsidP="009761CA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896714" w:rsidRDefault="009761CA" w:rsidP="00553009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</w:t>
            </w:r>
            <w:r w:rsidR="00553009">
              <w:rPr>
                <w:sz w:val="26"/>
                <w:szCs w:val="26"/>
              </w:rPr>
              <w:t xml:space="preserve">              </w:t>
            </w:r>
            <w:r w:rsidRPr="00553009">
              <w:rPr>
                <w:sz w:val="26"/>
                <w:szCs w:val="26"/>
              </w:rPr>
              <w:t xml:space="preserve"> </w:t>
            </w:r>
          </w:p>
          <w:p w:rsidR="00896714" w:rsidRDefault="009761CA" w:rsidP="00896714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</w:t>
            </w:r>
          </w:p>
          <w:p w:rsidR="001C528C" w:rsidRDefault="001C528C" w:rsidP="00896714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</w:p>
          <w:p w:rsidR="009761CA" w:rsidRPr="00553009" w:rsidRDefault="00896714" w:rsidP="00896714">
            <w:pPr>
              <w:autoSpaceDE w:val="0"/>
              <w:autoSpaceDN w:val="0"/>
              <w:adjustRightInd w:val="0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</w:t>
            </w:r>
            <w:r w:rsidR="009761CA" w:rsidRPr="00553009">
              <w:rPr>
                <w:sz w:val="26"/>
                <w:szCs w:val="26"/>
              </w:rPr>
              <w:t xml:space="preserve"> А.В. Анисимов</w:t>
            </w:r>
          </w:p>
        </w:tc>
      </w:tr>
    </w:tbl>
    <w:p w:rsidR="009761CA" w:rsidRPr="009761CA" w:rsidRDefault="009761CA" w:rsidP="009761CA">
      <w:pPr>
        <w:jc w:val="both"/>
        <w:rPr>
          <w:sz w:val="28"/>
          <w:szCs w:val="28"/>
        </w:rPr>
      </w:pPr>
    </w:p>
    <w:p w:rsidR="00F91F96" w:rsidRDefault="00F91F96" w:rsidP="00F91F96">
      <w:pPr>
        <w:tabs>
          <w:tab w:val="left" w:pos="10206"/>
        </w:tabs>
        <w:ind w:right="142"/>
      </w:pPr>
    </w:p>
    <w:p w:rsidR="00CE6D86" w:rsidRDefault="00CE6D86" w:rsidP="00F91F96">
      <w:pPr>
        <w:tabs>
          <w:tab w:val="left" w:pos="10206"/>
        </w:tabs>
        <w:ind w:right="142"/>
      </w:pPr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1C528C" w:rsidRDefault="001C528C" w:rsidP="00F91F96">
      <w:pPr>
        <w:jc w:val="both"/>
        <w:rPr>
          <w:kern w:val="32"/>
          <w:sz w:val="26"/>
          <w:szCs w:val="26"/>
        </w:rPr>
      </w:pPr>
    </w:p>
    <w:p w:rsidR="001C528C" w:rsidRDefault="001C528C" w:rsidP="00F91F96">
      <w:pPr>
        <w:jc w:val="both"/>
        <w:rPr>
          <w:kern w:val="32"/>
          <w:sz w:val="26"/>
          <w:szCs w:val="26"/>
        </w:rPr>
      </w:pPr>
    </w:p>
    <w:p w:rsidR="000F2BB2" w:rsidRDefault="000F2BB2" w:rsidP="00F91F96">
      <w:pPr>
        <w:jc w:val="both"/>
        <w:rPr>
          <w:kern w:val="32"/>
          <w:sz w:val="26"/>
          <w:szCs w:val="26"/>
        </w:rPr>
      </w:pPr>
    </w:p>
    <w:p w:rsidR="000F2BB2" w:rsidRDefault="000F2BB2" w:rsidP="00F91F96">
      <w:pPr>
        <w:jc w:val="both"/>
        <w:rPr>
          <w:kern w:val="32"/>
          <w:sz w:val="26"/>
          <w:szCs w:val="26"/>
        </w:rPr>
      </w:pPr>
    </w:p>
    <w:p w:rsidR="000F2BB2" w:rsidRDefault="000F2BB2" w:rsidP="00F91F96">
      <w:pPr>
        <w:jc w:val="both"/>
        <w:rPr>
          <w:kern w:val="32"/>
          <w:sz w:val="26"/>
          <w:szCs w:val="26"/>
        </w:rPr>
      </w:pPr>
    </w:p>
    <w:p w:rsidR="000F2BB2" w:rsidRDefault="000F2BB2" w:rsidP="00F91F96">
      <w:pPr>
        <w:jc w:val="both"/>
        <w:rPr>
          <w:kern w:val="32"/>
          <w:sz w:val="26"/>
          <w:szCs w:val="26"/>
        </w:rPr>
      </w:pPr>
      <w:bookmarkStart w:id="0" w:name="_GoBack"/>
      <w:bookmarkEnd w:id="0"/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3000CA" w:rsidRPr="003000CA" w:rsidRDefault="003000CA" w:rsidP="00896714">
      <w:pPr>
        <w:autoSpaceDE w:val="0"/>
        <w:autoSpaceDN w:val="0"/>
        <w:adjustRightInd w:val="0"/>
        <w:ind w:left="851"/>
        <w:jc w:val="right"/>
        <w:outlineLvl w:val="0"/>
        <w:rPr>
          <w:sz w:val="24"/>
          <w:szCs w:val="24"/>
        </w:rPr>
      </w:pPr>
      <w:r w:rsidRPr="003000CA">
        <w:rPr>
          <w:sz w:val="24"/>
          <w:szCs w:val="24"/>
        </w:rPr>
        <w:lastRenderedPageBreak/>
        <w:t>Приложение</w:t>
      </w:r>
    </w:p>
    <w:p w:rsidR="003000CA" w:rsidRPr="003000CA" w:rsidRDefault="003000CA" w:rsidP="00896714">
      <w:pPr>
        <w:autoSpaceDE w:val="0"/>
        <w:autoSpaceDN w:val="0"/>
        <w:adjustRightInd w:val="0"/>
        <w:ind w:left="851"/>
        <w:jc w:val="right"/>
        <w:rPr>
          <w:sz w:val="24"/>
          <w:szCs w:val="24"/>
        </w:rPr>
      </w:pPr>
      <w:r w:rsidRPr="003000CA">
        <w:rPr>
          <w:sz w:val="24"/>
          <w:szCs w:val="24"/>
        </w:rPr>
        <w:t>к решению Совета муниципального округа «Ухта»</w:t>
      </w:r>
    </w:p>
    <w:p w:rsidR="003000CA" w:rsidRPr="003000CA" w:rsidRDefault="003000CA" w:rsidP="00896714">
      <w:pPr>
        <w:autoSpaceDE w:val="0"/>
        <w:autoSpaceDN w:val="0"/>
        <w:adjustRightInd w:val="0"/>
        <w:ind w:left="851"/>
        <w:jc w:val="right"/>
        <w:rPr>
          <w:rFonts w:eastAsiaTheme="minorHAnsi"/>
          <w:sz w:val="24"/>
          <w:szCs w:val="24"/>
          <w:lang w:eastAsia="en-US"/>
        </w:rPr>
      </w:pPr>
      <w:r w:rsidRPr="003000CA">
        <w:rPr>
          <w:sz w:val="24"/>
          <w:szCs w:val="24"/>
          <w:lang w:eastAsia="en-US"/>
        </w:rPr>
        <w:t xml:space="preserve">от </w:t>
      </w:r>
      <w:r w:rsidR="00896714">
        <w:rPr>
          <w:sz w:val="24"/>
          <w:szCs w:val="24"/>
          <w:lang w:eastAsia="en-US"/>
        </w:rPr>
        <w:t>«28» авгу</w:t>
      </w:r>
      <w:r w:rsidR="00EA68E8">
        <w:rPr>
          <w:sz w:val="24"/>
          <w:szCs w:val="24"/>
          <w:lang w:eastAsia="en-US"/>
        </w:rPr>
        <w:t>ста</w:t>
      </w:r>
      <w:r w:rsidRPr="003000CA">
        <w:rPr>
          <w:sz w:val="24"/>
          <w:szCs w:val="24"/>
          <w:lang w:eastAsia="en-US"/>
        </w:rPr>
        <w:t xml:space="preserve"> 2025 г. № </w:t>
      </w:r>
      <w:r w:rsidR="00EA68E8">
        <w:rPr>
          <w:sz w:val="24"/>
          <w:szCs w:val="24"/>
          <w:lang w:eastAsia="en-US"/>
        </w:rPr>
        <w:t>428</w:t>
      </w:r>
    </w:p>
    <w:p w:rsidR="00896714" w:rsidRDefault="00896714" w:rsidP="003000C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bookmarkStart w:id="1" w:name="P40"/>
      <w:bookmarkEnd w:id="1"/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СТРАТЕГИЯ</w:t>
      </w: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СОЦИАЛЬНО-ЭКОНОМИЧЕСКОГО РАЗВИТИЯ</w:t>
      </w: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МУНИЦИПАЛЬНОГО ОКРУГА «УХТА» НА ПЕРИОД ДО 2035 ГОДА</w:t>
      </w: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ВВЕДЕНИЕ</w:t>
      </w: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Стратегия социально-экономического развития муниципального округа «Ухта» на период до 2035 года (далее - Стратегия) является документом стратегического планирования муниципального образования и определяет приоритеты, цели и задачи социально-экономического развития муниципального округа «Ухта» на долгосрочную перспективу, согласованные с приоритетами и целями социально-экономического развития Республики Коми.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>Стратегия разработана в связи с изменением статуса муниципального образования городского округа «Ухта» на муниципальный округ в соответствии с Законом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 Коми», а также с учетом сложившихся внутренних и</w:t>
      </w:r>
      <w:proofErr w:type="gramEnd"/>
      <w:r w:rsidRPr="003000CA">
        <w:rPr>
          <w:rFonts w:eastAsiaTheme="minorEastAsia"/>
          <w:sz w:val="24"/>
          <w:szCs w:val="24"/>
        </w:rPr>
        <w:t xml:space="preserve"> внешних факторов на социально-экономическое развитие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Стратегия разработана в соответствии: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с Федеральным </w:t>
      </w:r>
      <w:hyperlink r:id="rId11">
        <w:r w:rsidRPr="003000CA">
          <w:rPr>
            <w:rFonts w:eastAsiaTheme="minorEastAsia"/>
            <w:sz w:val="24"/>
            <w:szCs w:val="24"/>
          </w:rPr>
          <w:t>законом</w:t>
        </w:r>
      </w:hyperlink>
      <w:r w:rsidRPr="003000CA">
        <w:rPr>
          <w:rFonts w:eastAsiaTheme="minorEastAsia"/>
          <w:sz w:val="24"/>
          <w:szCs w:val="24"/>
        </w:rPr>
        <w:t xml:space="preserve"> «Об общих принципах организации местного самоуправления в Российской Федерации», Федеральным </w:t>
      </w:r>
      <w:hyperlink r:id="rId12">
        <w:r w:rsidRPr="003000CA">
          <w:rPr>
            <w:rFonts w:eastAsiaTheme="minorEastAsia"/>
            <w:sz w:val="24"/>
            <w:szCs w:val="24"/>
          </w:rPr>
          <w:t>законом</w:t>
        </w:r>
      </w:hyperlink>
      <w:r w:rsidRPr="003000CA">
        <w:rPr>
          <w:rFonts w:eastAsiaTheme="minorEastAsia"/>
          <w:sz w:val="24"/>
          <w:szCs w:val="24"/>
        </w:rPr>
        <w:t xml:space="preserve"> «О стратегическом планировании в Российской Федерации», иными федеральными законами и нормативными правовыми актами Российской Федерации, регламентирующими сферы деятельности, охваченные Стратегией;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 xml:space="preserve">с Программой социально-экономического развития Республики Коми на период до 2028 года, </w:t>
      </w:r>
      <w:hyperlink r:id="rId13">
        <w:r w:rsidRPr="003000CA">
          <w:rPr>
            <w:rFonts w:eastAsiaTheme="minorEastAsia"/>
            <w:sz w:val="24"/>
            <w:szCs w:val="24"/>
          </w:rPr>
          <w:t>Стратегией</w:t>
        </w:r>
      </w:hyperlink>
      <w:r w:rsidRPr="003000CA">
        <w:rPr>
          <w:rFonts w:eastAsiaTheme="minorEastAsia"/>
          <w:sz w:val="24"/>
          <w:szCs w:val="24"/>
        </w:rPr>
        <w:t xml:space="preserve"> социально-экономического развития Республики Коми на период до 2035 года, Приказом Министерства экономики Республики Коми «Об утверждении рекомендаций по разработке, корректировке, осуществлению мониторинга и контроля реализации стратегий социально-экономического развития муниципальных образований в Республике Коми», иных нормативных правовых актов Главы Республики Коми и Правительства Республики Коми, содержащих основные направления и</w:t>
      </w:r>
      <w:proofErr w:type="gramEnd"/>
      <w:r w:rsidRPr="003000CA">
        <w:rPr>
          <w:rFonts w:eastAsiaTheme="minorEastAsia"/>
          <w:sz w:val="24"/>
          <w:szCs w:val="24"/>
        </w:rPr>
        <w:t xml:space="preserve"> цели социально-экономического развития Республики Коми;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с </w:t>
      </w:r>
      <w:hyperlink r:id="rId14">
        <w:r w:rsidRPr="003000CA">
          <w:rPr>
            <w:rFonts w:eastAsiaTheme="minorEastAsia"/>
            <w:sz w:val="24"/>
            <w:szCs w:val="24"/>
          </w:rPr>
          <w:t>Уставом</w:t>
        </w:r>
      </w:hyperlink>
      <w:r w:rsidRPr="003000CA">
        <w:rPr>
          <w:rFonts w:eastAsiaTheme="minorEastAsia"/>
          <w:sz w:val="24"/>
          <w:szCs w:val="24"/>
        </w:rPr>
        <w:t xml:space="preserve"> муниципального округа «Ухта» Республики Коми, Порядком разработки, корректировки, а также осуществления мониторинга и контроля реализации стратегии социально-экономического развития муниципального округа «Ухта» и плана мероприятий по реализации стратегии социально-экономического развития муниципального округа «Ухта», иными муниципальными правовыми актами муниципального округа «Ухта».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Стратегия сформирована с учетом положений: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документов стратегического планирования Российской Федерации, в том числе </w:t>
      </w:r>
      <w:hyperlink r:id="rId15">
        <w:r w:rsidRPr="003000CA">
          <w:rPr>
            <w:rFonts w:eastAsiaTheme="minorEastAsia"/>
            <w:sz w:val="24"/>
            <w:szCs w:val="24"/>
          </w:rPr>
          <w:t>Стратегии</w:t>
        </w:r>
      </w:hyperlink>
      <w:r w:rsidRPr="003000CA">
        <w:rPr>
          <w:rFonts w:eastAsiaTheme="minorEastAsia"/>
          <w:sz w:val="24"/>
          <w:szCs w:val="24"/>
        </w:rPr>
        <w:t xml:space="preserve"> пространственного развития Российской Федерации на период до 2030 года с прогнозом до 2036 года;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Указов Президента Российской Федерации, в том числе: «О национальных целях развития Российской Федерации на период до 2030 года и на перспективу до 2036 года», «Об оценке </w:t>
      </w:r>
      <w:proofErr w:type="gramStart"/>
      <w:r w:rsidRPr="003000CA">
        <w:rPr>
          <w:rFonts w:eastAsiaTheme="minorEastAsia"/>
          <w:sz w:val="24"/>
          <w:szCs w:val="24"/>
        </w:rPr>
        <w:t>эффективности деятельности органов местного самоуправления городских округов</w:t>
      </w:r>
      <w:proofErr w:type="gramEnd"/>
      <w:r w:rsidRPr="003000CA">
        <w:rPr>
          <w:rFonts w:eastAsiaTheme="minorEastAsia"/>
          <w:sz w:val="24"/>
          <w:szCs w:val="24"/>
        </w:rPr>
        <w:t xml:space="preserve"> и муниципальных районов», «О Стратегии развития информационного общества в Российской Федерации на 2017 - 2030 годы».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 разработке Стратегии учтены статистические данные по муниципальному округу «Ухта», информация организаций, осуществляющих деятельность на территории муниципального округа «Ухта».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 xml:space="preserve">I. СТРАТЕГИЧЕСКИЙ АНАЛИЗ И ОЦЕНКА </w:t>
      </w:r>
      <w:proofErr w:type="gramStart"/>
      <w:r w:rsidRPr="003000CA">
        <w:rPr>
          <w:rFonts w:eastAsiaTheme="minorEastAsia"/>
          <w:b/>
          <w:sz w:val="24"/>
          <w:szCs w:val="24"/>
        </w:rPr>
        <w:t>ИСХОДНОЙ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 xml:space="preserve">СОЦИАЛЬНО-ЭКОНОМИЧЕСКОЙ СИТУАЦИИ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МУНИЦИПАЛЬНОГО ОКРУГА «УХТА»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Характеристика экономико-географического положения муниципального образования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Муниципальный округ «Ухта» расположен в центральной части Республики Коми. На западе граничит с муниципальным районом «</w:t>
      </w:r>
      <w:proofErr w:type="spellStart"/>
      <w:r w:rsidRPr="003000CA">
        <w:rPr>
          <w:rFonts w:eastAsiaTheme="minorEastAsia"/>
          <w:sz w:val="24"/>
          <w:szCs w:val="24"/>
        </w:rPr>
        <w:t>Княжпогостский</w:t>
      </w:r>
      <w:proofErr w:type="spellEnd"/>
      <w:r w:rsidRPr="003000CA">
        <w:rPr>
          <w:rFonts w:eastAsiaTheme="minorEastAsia"/>
          <w:sz w:val="24"/>
          <w:szCs w:val="24"/>
        </w:rPr>
        <w:t>», на востоке - с муниципальным районом «Сосногорск», на севере - с муниципальным районом «Ижемский», на юге - с муниципальными районами «</w:t>
      </w:r>
      <w:proofErr w:type="spellStart"/>
      <w:r w:rsidRPr="003000CA">
        <w:rPr>
          <w:rFonts w:eastAsiaTheme="minorEastAsia"/>
          <w:sz w:val="24"/>
          <w:szCs w:val="24"/>
        </w:rPr>
        <w:t>Усть-Куломский</w:t>
      </w:r>
      <w:proofErr w:type="spellEnd"/>
      <w:r w:rsidRPr="003000CA">
        <w:rPr>
          <w:rFonts w:eastAsiaTheme="minorEastAsia"/>
          <w:sz w:val="24"/>
          <w:szCs w:val="24"/>
        </w:rPr>
        <w:t>» и «</w:t>
      </w:r>
      <w:proofErr w:type="spellStart"/>
      <w:r w:rsidRPr="003000CA">
        <w:rPr>
          <w:rFonts w:eastAsiaTheme="minorEastAsia"/>
          <w:sz w:val="24"/>
          <w:szCs w:val="24"/>
        </w:rPr>
        <w:t>Корткеросский</w:t>
      </w:r>
      <w:proofErr w:type="spellEnd"/>
      <w:r w:rsidRPr="003000CA">
        <w:rPr>
          <w:rFonts w:eastAsiaTheme="minorEastAsia"/>
          <w:sz w:val="24"/>
          <w:szCs w:val="24"/>
        </w:rPr>
        <w:t xml:space="preserve">». 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В состав муниципального округа «Ухта» входят: город республиканского значения Ухта, поселки городского типа Боровой, Водный, Шудаяг, Ярега, поселки сельского типа Веселый Кут, </w:t>
      </w:r>
      <w:proofErr w:type="spellStart"/>
      <w:r w:rsidRPr="003000CA">
        <w:rPr>
          <w:rFonts w:eastAsiaTheme="minorEastAsia"/>
          <w:sz w:val="24"/>
          <w:szCs w:val="24"/>
        </w:rPr>
        <w:t>Гэрдъёль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Изъюр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Кэмдин</w:t>
      </w:r>
      <w:proofErr w:type="spellEnd"/>
      <w:r w:rsidRPr="003000CA">
        <w:rPr>
          <w:rFonts w:eastAsiaTheme="minorEastAsia"/>
          <w:sz w:val="24"/>
          <w:szCs w:val="24"/>
        </w:rPr>
        <w:t xml:space="preserve">, Нижний </w:t>
      </w:r>
      <w:proofErr w:type="spellStart"/>
      <w:r w:rsidRPr="003000CA">
        <w:rPr>
          <w:rFonts w:eastAsiaTheme="minorEastAsia"/>
          <w:sz w:val="24"/>
          <w:szCs w:val="24"/>
        </w:rPr>
        <w:t>Доманик</w:t>
      </w:r>
      <w:proofErr w:type="spellEnd"/>
      <w:r w:rsidRPr="003000CA">
        <w:rPr>
          <w:rFonts w:eastAsiaTheme="minorEastAsia"/>
          <w:sz w:val="24"/>
          <w:szCs w:val="24"/>
        </w:rPr>
        <w:t xml:space="preserve">, Первомайский, </w:t>
      </w:r>
      <w:proofErr w:type="spellStart"/>
      <w:r w:rsidRPr="003000CA">
        <w:rPr>
          <w:rFonts w:eastAsiaTheme="minorEastAsia"/>
          <w:sz w:val="24"/>
          <w:szCs w:val="24"/>
        </w:rPr>
        <w:t>Седъю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Тобысь</w:t>
      </w:r>
      <w:proofErr w:type="spellEnd"/>
      <w:r w:rsidRPr="003000CA">
        <w:rPr>
          <w:rFonts w:eastAsiaTheme="minorEastAsia"/>
          <w:sz w:val="24"/>
          <w:szCs w:val="24"/>
        </w:rPr>
        <w:t xml:space="preserve">, село </w:t>
      </w:r>
      <w:proofErr w:type="spellStart"/>
      <w:r w:rsidRPr="003000CA">
        <w:rPr>
          <w:rFonts w:eastAsiaTheme="minorEastAsia"/>
          <w:sz w:val="24"/>
          <w:szCs w:val="24"/>
        </w:rPr>
        <w:t>Кедвавом</w:t>
      </w:r>
      <w:proofErr w:type="spellEnd"/>
      <w:r w:rsidRPr="003000CA">
        <w:rPr>
          <w:rFonts w:eastAsiaTheme="minorEastAsia"/>
          <w:sz w:val="24"/>
          <w:szCs w:val="24"/>
        </w:rPr>
        <w:t xml:space="preserve">, деревни </w:t>
      </w:r>
      <w:proofErr w:type="spellStart"/>
      <w:r w:rsidRPr="003000CA">
        <w:rPr>
          <w:rFonts w:eastAsiaTheme="minorEastAsia"/>
          <w:sz w:val="24"/>
          <w:szCs w:val="24"/>
        </w:rPr>
        <w:t>Гажаяг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Изваиль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Лайково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Поромес</w:t>
      </w:r>
      <w:proofErr w:type="spellEnd"/>
      <w:r w:rsidRPr="003000CA">
        <w:rPr>
          <w:rFonts w:eastAsiaTheme="minorEastAsia"/>
          <w:sz w:val="24"/>
          <w:szCs w:val="24"/>
        </w:rPr>
        <w:t>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Площадь территории муниципального округа «Ухта» составляет 13,3 тыс. кв. км.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Транспортная система муниципального округа представлена железнодорожным, воздушным и автомобильным транспортом.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Расстояние от г. Ухта до г. Сыктывкар составляет 325 км, до г. Москвы - 1559 км.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Муниципальное образование расположено в основном в орографической области </w:t>
      </w:r>
      <w:proofErr w:type="spellStart"/>
      <w:r w:rsidRPr="003000CA">
        <w:rPr>
          <w:rFonts w:eastAsiaTheme="minorEastAsia"/>
          <w:sz w:val="24"/>
          <w:szCs w:val="24"/>
        </w:rPr>
        <w:t>Тиманской</w:t>
      </w:r>
      <w:proofErr w:type="spellEnd"/>
      <w:r w:rsidRPr="003000CA">
        <w:rPr>
          <w:rFonts w:eastAsiaTheme="minorEastAsia"/>
          <w:sz w:val="24"/>
          <w:szCs w:val="24"/>
        </w:rPr>
        <w:t xml:space="preserve"> возвышенности, основными орографическими элементами являются </w:t>
      </w:r>
      <w:proofErr w:type="spellStart"/>
      <w:r w:rsidRPr="003000CA">
        <w:rPr>
          <w:rFonts w:eastAsiaTheme="minorEastAsia"/>
          <w:sz w:val="24"/>
          <w:szCs w:val="24"/>
        </w:rPr>
        <w:t>Вольско-Вымская</w:t>
      </w:r>
      <w:proofErr w:type="spellEnd"/>
      <w:r w:rsidRPr="003000CA">
        <w:rPr>
          <w:rFonts w:eastAsiaTheme="minorEastAsia"/>
          <w:sz w:val="24"/>
          <w:szCs w:val="24"/>
        </w:rPr>
        <w:t xml:space="preserve"> гряда (восточный склон) и возвышенность </w:t>
      </w:r>
      <w:proofErr w:type="spellStart"/>
      <w:r w:rsidRPr="003000CA">
        <w:rPr>
          <w:rFonts w:eastAsiaTheme="minorEastAsia"/>
          <w:sz w:val="24"/>
          <w:szCs w:val="24"/>
        </w:rPr>
        <w:t>Очьпарма</w:t>
      </w:r>
      <w:proofErr w:type="spellEnd"/>
      <w:r w:rsidRPr="003000CA">
        <w:rPr>
          <w:rFonts w:eastAsiaTheme="minorEastAsia"/>
          <w:sz w:val="24"/>
          <w:szCs w:val="24"/>
        </w:rPr>
        <w:t>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Климат умеренно-континентальный с продолжительной зимой и коротким прохладным летом. Самым теплым месяцем года является июль, самым холодным - январь.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По численности населения муниципальное образование занимает второе место в республике.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Муниципальное образование занимает 3,19 % от площади республики.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Плотность расселения составляет 7,0 человек на один квадратный километр.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Муниципальный округ «Ухта» приравнен к районам Крайнего Севера.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Природные ресурсы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Минерально-сырьевые ресурсы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Основное промышленное значение среди минерально-сырьевых ресурсов муниципального округа «Ухта» имеет топливно-энергетическое сырье и, в первую очередь, нефть и газ горючий.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Промышленное значение имеют пресные подземные воды и лечебные минеральные воды, а также лечебные грязи.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Неметаллические твердые полезные ископаемые представлены разведанными месторождениями карбонатных и глинистых пород для цементной промышленности и флюсовых известняков, перспективными для разведки месторождениями огнеупорных каолиновых глин.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Территория муниципального образования рассматривается в качестве </w:t>
      </w:r>
      <w:proofErr w:type="gramStart"/>
      <w:r w:rsidRPr="003000CA">
        <w:rPr>
          <w:rFonts w:eastAsiaTheme="minorEastAsia"/>
          <w:sz w:val="24"/>
          <w:szCs w:val="24"/>
        </w:rPr>
        <w:t>перспективной</w:t>
      </w:r>
      <w:proofErr w:type="gramEnd"/>
      <w:r w:rsidRPr="003000CA">
        <w:rPr>
          <w:rFonts w:eastAsiaTheme="minorEastAsia"/>
          <w:sz w:val="24"/>
          <w:szCs w:val="24"/>
        </w:rPr>
        <w:t xml:space="preserve"> на нахождение промышленных месторождений бокситов, алмазов, возможно, золота.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 Минерально-сырьевые ресурсы муниципального округа «Ухта» представлены в таблице 1.</w:t>
      </w:r>
    </w:p>
    <w:p w:rsid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1C528C" w:rsidRPr="003000CA" w:rsidRDefault="001C528C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lastRenderedPageBreak/>
        <w:t>Таблица 1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Минерально-сырьевые ресурсы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7371"/>
      </w:tblGrid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Вид ресурса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Характеристика ресурса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  <w:highlight w:val="yellow"/>
              </w:rPr>
            </w:pPr>
            <w:r w:rsidRPr="003000CA">
              <w:rPr>
                <w:rFonts w:eastAsiaTheme="minorEastAsia"/>
              </w:rPr>
              <w:t>Нефть, газ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Открыто 14 месторождений углеводородов, учтенных Государственным балансом запасов полезных ископаемых на 01.01.2024, в том числе: 5 нефтяных (крупное </w:t>
            </w:r>
            <w:proofErr w:type="spellStart"/>
            <w:r w:rsidRPr="003000CA">
              <w:t>Ярегское</w:t>
            </w:r>
            <w:proofErr w:type="spellEnd"/>
            <w:r w:rsidRPr="003000CA">
              <w:t xml:space="preserve">, малые </w:t>
            </w:r>
            <w:proofErr w:type="spellStart"/>
            <w:r w:rsidRPr="003000CA">
              <w:t>Чибьюское</w:t>
            </w:r>
            <w:proofErr w:type="spellEnd"/>
            <w:r w:rsidRPr="003000CA">
              <w:t xml:space="preserve">, </w:t>
            </w:r>
            <w:proofErr w:type="spellStart"/>
            <w:r w:rsidRPr="003000CA">
              <w:t>Нижнечутинское</w:t>
            </w:r>
            <w:proofErr w:type="spellEnd"/>
            <w:r w:rsidRPr="003000CA">
              <w:t>, Западно-</w:t>
            </w:r>
            <w:proofErr w:type="spellStart"/>
            <w:r w:rsidRPr="003000CA">
              <w:t>Ухтинское</w:t>
            </w:r>
            <w:proofErr w:type="spellEnd"/>
            <w:r w:rsidRPr="003000CA">
              <w:t xml:space="preserve"> и Восточно-</w:t>
            </w:r>
            <w:proofErr w:type="spellStart"/>
            <w:r w:rsidRPr="003000CA">
              <w:t>Крохальское</w:t>
            </w:r>
            <w:proofErr w:type="spellEnd"/>
            <w:r w:rsidRPr="003000CA">
              <w:t xml:space="preserve">), 6 газовых (малые </w:t>
            </w:r>
            <w:proofErr w:type="spellStart"/>
            <w:r w:rsidRPr="003000CA">
              <w:t>Крохальское</w:t>
            </w:r>
            <w:proofErr w:type="spellEnd"/>
            <w:r w:rsidRPr="003000CA">
              <w:t xml:space="preserve">, </w:t>
            </w:r>
            <w:proofErr w:type="spellStart"/>
            <w:r w:rsidRPr="003000CA">
              <w:t>Нямедьское</w:t>
            </w:r>
            <w:proofErr w:type="spellEnd"/>
            <w:r w:rsidRPr="003000CA">
              <w:t>, Куш-</w:t>
            </w:r>
            <w:proofErr w:type="spellStart"/>
            <w:r w:rsidRPr="003000CA">
              <w:t>Коджское</w:t>
            </w:r>
            <w:proofErr w:type="spellEnd"/>
            <w:r w:rsidRPr="003000CA">
              <w:t>, Западно-</w:t>
            </w:r>
            <w:proofErr w:type="spellStart"/>
            <w:r w:rsidRPr="003000CA">
              <w:t>Изкось</w:t>
            </w:r>
            <w:proofErr w:type="spellEnd"/>
            <w:r w:rsidRPr="003000CA">
              <w:t>-</w:t>
            </w:r>
            <w:proofErr w:type="spellStart"/>
            <w:r w:rsidRPr="003000CA">
              <w:t>Горинское</w:t>
            </w:r>
            <w:proofErr w:type="spellEnd"/>
            <w:r w:rsidRPr="003000CA">
              <w:t xml:space="preserve">, </w:t>
            </w:r>
            <w:proofErr w:type="spellStart"/>
            <w:r w:rsidRPr="003000CA">
              <w:t>Сускинаельское</w:t>
            </w:r>
            <w:proofErr w:type="spellEnd"/>
            <w:r w:rsidRPr="003000CA">
              <w:t>, Северо-</w:t>
            </w:r>
            <w:proofErr w:type="spellStart"/>
            <w:r w:rsidRPr="003000CA">
              <w:t>Седъельское</w:t>
            </w:r>
            <w:proofErr w:type="spellEnd"/>
            <w:r w:rsidRPr="003000CA">
              <w:t xml:space="preserve">), 2 нефтегазовых (малое </w:t>
            </w:r>
            <w:proofErr w:type="spellStart"/>
            <w:r w:rsidRPr="003000CA">
              <w:t>Родзинское</w:t>
            </w:r>
            <w:proofErr w:type="spellEnd"/>
            <w:r w:rsidRPr="003000CA">
              <w:t>, Средне-</w:t>
            </w:r>
            <w:proofErr w:type="spellStart"/>
            <w:r w:rsidRPr="003000CA">
              <w:t>Седъельское</w:t>
            </w:r>
            <w:proofErr w:type="spellEnd"/>
            <w:r w:rsidRPr="003000CA">
              <w:t>) и 1 газонефтяное (</w:t>
            </w:r>
            <w:proofErr w:type="spellStart"/>
            <w:r w:rsidRPr="003000CA">
              <w:t>Изъель</w:t>
            </w:r>
            <w:proofErr w:type="spellEnd"/>
            <w:r w:rsidRPr="003000CA">
              <w:t>-Петровское).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3000CA">
              <w:t xml:space="preserve">Базовым месторождением по-прежнему остается </w:t>
            </w:r>
            <w:proofErr w:type="spellStart"/>
            <w:r w:rsidRPr="003000CA">
              <w:t>Ярегское</w:t>
            </w:r>
            <w:proofErr w:type="spellEnd"/>
            <w:r w:rsidRPr="003000CA">
              <w:t xml:space="preserve"> месторождение тяжелой нефти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Каменные и бурые угли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3000CA">
              <w:t xml:space="preserve">В южной части </w:t>
            </w:r>
            <w:proofErr w:type="spellStart"/>
            <w:r w:rsidRPr="003000CA">
              <w:t>Тимана</w:t>
            </w:r>
            <w:proofErr w:type="spellEnd"/>
            <w:r w:rsidRPr="003000CA">
              <w:t xml:space="preserve"> известны Южно-</w:t>
            </w:r>
            <w:proofErr w:type="spellStart"/>
            <w:r w:rsidRPr="003000CA">
              <w:t>Тиманское</w:t>
            </w:r>
            <w:proofErr w:type="spellEnd"/>
            <w:r w:rsidRPr="003000CA">
              <w:t xml:space="preserve"> углепроявление (угли каменные) и </w:t>
            </w:r>
            <w:proofErr w:type="spellStart"/>
            <w:r w:rsidRPr="003000CA">
              <w:t>Вольско-Черская</w:t>
            </w:r>
            <w:proofErr w:type="spellEnd"/>
            <w:r w:rsidRPr="003000CA">
              <w:t xml:space="preserve"> угленосная площадь (угли бурые). Первые имеют локальные размеры, а вторые - высокую зольность, в </w:t>
            </w:r>
            <w:proofErr w:type="gramStart"/>
            <w:r w:rsidRPr="003000CA">
              <w:t>связи</w:t>
            </w:r>
            <w:proofErr w:type="gramEnd"/>
            <w:r w:rsidRPr="003000CA">
              <w:t xml:space="preserve"> с чем практическое их значение как топлива весьма проблематично даже в далеком будущем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Железные руды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proofErr w:type="spellStart"/>
            <w:r w:rsidRPr="003000CA">
              <w:t>Ваповское</w:t>
            </w:r>
            <w:proofErr w:type="spellEnd"/>
            <w:r w:rsidRPr="003000CA">
              <w:t xml:space="preserve"> рудопроявление железных руд может рассматриваться вместе с одноименной бокситовой залежью как одно месторождение (</w:t>
            </w:r>
            <w:proofErr w:type="gramStart"/>
            <w:r w:rsidRPr="003000CA">
              <w:t>гетит-гематитовые</w:t>
            </w:r>
            <w:proofErr w:type="gramEnd"/>
            <w:r w:rsidRPr="003000CA">
              <w:t xml:space="preserve">, </w:t>
            </w:r>
            <w:proofErr w:type="spellStart"/>
            <w:r w:rsidRPr="003000CA">
              <w:t>пизолито</w:t>
            </w:r>
            <w:proofErr w:type="spellEnd"/>
            <w:r w:rsidRPr="003000CA">
              <w:t xml:space="preserve">-обломочные руды). Содержание Fe2O3 - обычно 30-45 %. Ресурсы руд соизмеримы с запасами бокситов, но по своим параметрам в настоящее время не представляют промышленного интереса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  <w:highlight w:val="yellow"/>
              </w:rPr>
            </w:pPr>
            <w:r w:rsidRPr="003000CA">
              <w:rPr>
                <w:rFonts w:eastAsiaTheme="minorEastAsia"/>
              </w:rPr>
              <w:t>Титан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Крупнейшим в России по запасам титана, учитываемых государственным балансом запасов является </w:t>
            </w:r>
            <w:proofErr w:type="spellStart"/>
            <w:r w:rsidRPr="003000CA">
              <w:t>Ярегское</w:t>
            </w:r>
            <w:proofErr w:type="spellEnd"/>
            <w:r w:rsidRPr="003000CA">
              <w:t xml:space="preserve"> месторождение.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Месторождение представляет собой </w:t>
            </w:r>
            <w:proofErr w:type="gramStart"/>
            <w:r w:rsidRPr="003000CA">
              <w:t>погребенную</w:t>
            </w:r>
            <w:proofErr w:type="gramEnd"/>
            <w:r w:rsidRPr="003000CA">
              <w:t xml:space="preserve"> </w:t>
            </w:r>
            <w:proofErr w:type="spellStart"/>
            <w:r w:rsidRPr="003000CA">
              <w:t>палеороссыпь</w:t>
            </w:r>
            <w:proofErr w:type="spellEnd"/>
            <w:r w:rsidRPr="003000CA">
              <w:t xml:space="preserve">. Вещественный состав руд </w:t>
            </w:r>
            <w:proofErr w:type="spellStart"/>
            <w:r w:rsidRPr="003000CA">
              <w:t>лейкоксен</w:t>
            </w:r>
            <w:proofErr w:type="spellEnd"/>
            <w:r w:rsidRPr="003000CA">
              <w:t xml:space="preserve">-кварцевый. По содержанию нефти выделяется </w:t>
            </w:r>
            <w:proofErr w:type="spellStart"/>
            <w:r w:rsidRPr="003000CA">
              <w:t>нефтенасыщенный</w:t>
            </w:r>
            <w:proofErr w:type="spellEnd"/>
            <w:r w:rsidRPr="003000CA">
              <w:t xml:space="preserve"> и </w:t>
            </w:r>
            <w:proofErr w:type="spellStart"/>
            <w:r w:rsidRPr="003000CA">
              <w:t>безнефтяной</w:t>
            </w:r>
            <w:proofErr w:type="spellEnd"/>
            <w:r w:rsidRPr="003000CA">
              <w:t xml:space="preserve"> (</w:t>
            </w:r>
            <w:proofErr w:type="spellStart"/>
            <w:r w:rsidRPr="003000CA">
              <w:t>водонасыщенный</w:t>
            </w:r>
            <w:proofErr w:type="spellEnd"/>
            <w:r w:rsidRPr="003000CA">
              <w:t xml:space="preserve">) типы руд.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proofErr w:type="gramStart"/>
            <w:r w:rsidRPr="003000CA">
              <w:t xml:space="preserve">Концентраты из </w:t>
            </w:r>
            <w:proofErr w:type="spellStart"/>
            <w:r w:rsidRPr="003000CA">
              <w:t>Ярегских</w:t>
            </w:r>
            <w:proofErr w:type="spellEnd"/>
            <w:r w:rsidRPr="003000CA">
              <w:t xml:space="preserve"> руд могут быть использованы для получения цветных пигментов, сварочных электродов, а также </w:t>
            </w:r>
            <w:proofErr w:type="spellStart"/>
            <w:r w:rsidRPr="003000CA">
              <w:t>титанокремниевой</w:t>
            </w:r>
            <w:proofErr w:type="spellEnd"/>
            <w:r w:rsidRPr="003000CA">
              <w:t xml:space="preserve"> лигатуры и титанового шлака для металлургического и пигментного производств. </w:t>
            </w:r>
            <w:proofErr w:type="gramEnd"/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Район </w:t>
            </w:r>
            <w:proofErr w:type="spellStart"/>
            <w:r w:rsidRPr="003000CA">
              <w:t>Ярегского</w:t>
            </w:r>
            <w:proofErr w:type="spellEnd"/>
            <w:r w:rsidRPr="003000CA">
              <w:t xml:space="preserve"> месторождения имеет перспективы значительного прироста запасов титановых руд. Прогнозные ресурсы руд в </w:t>
            </w:r>
            <w:proofErr w:type="spellStart"/>
            <w:r w:rsidRPr="003000CA">
              <w:t>Ярего-Водненском</w:t>
            </w:r>
            <w:proofErr w:type="spellEnd"/>
            <w:r w:rsidRPr="003000CA">
              <w:t xml:space="preserve"> рудном узле соответствуют крупному месторождению.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На границе </w:t>
            </w:r>
            <w:proofErr w:type="spellStart"/>
            <w:r w:rsidRPr="003000CA">
              <w:t>Ухтинского</w:t>
            </w:r>
            <w:proofErr w:type="spellEnd"/>
            <w:r w:rsidRPr="003000CA">
              <w:t xml:space="preserve"> и </w:t>
            </w:r>
            <w:proofErr w:type="spellStart"/>
            <w:r w:rsidRPr="003000CA">
              <w:t>Княжпогостского</w:t>
            </w:r>
            <w:proofErr w:type="spellEnd"/>
            <w:r w:rsidRPr="003000CA">
              <w:t xml:space="preserve"> районов выделяется </w:t>
            </w:r>
            <w:proofErr w:type="spellStart"/>
            <w:r w:rsidRPr="003000CA">
              <w:t>Вымская</w:t>
            </w:r>
            <w:proofErr w:type="spellEnd"/>
            <w:r w:rsidRPr="003000CA">
              <w:t xml:space="preserve"> перспективная площадь, которая в будущем будет представлять интерес для поисков промышленных залежей титановых руд.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3000CA">
              <w:t>В 2015 год</w:t>
            </w:r>
            <w:proofErr w:type="gramStart"/>
            <w:r w:rsidRPr="003000CA">
              <w:t>у ООО</w:t>
            </w:r>
            <w:proofErr w:type="gramEnd"/>
            <w:r w:rsidRPr="003000CA">
              <w:t xml:space="preserve"> «ЛУКОЙЛ-ПЕРМЬ» получило право на разведку и добычу титановой руды </w:t>
            </w:r>
            <w:proofErr w:type="spellStart"/>
            <w:r w:rsidRPr="003000CA">
              <w:t>Ярегского</w:t>
            </w:r>
            <w:proofErr w:type="spellEnd"/>
            <w:r w:rsidRPr="003000CA">
              <w:t xml:space="preserve"> месторождения. В 2023 году </w:t>
            </w:r>
            <w:proofErr w:type="spellStart"/>
            <w:r w:rsidRPr="003000CA">
              <w:t>недропользователем</w:t>
            </w:r>
            <w:proofErr w:type="spellEnd"/>
            <w:r w:rsidRPr="003000CA">
              <w:t xml:space="preserve"> подана заявка о досрочном прекращении права пользования недрами, в связи убыточностью деятельности по добыче нефтетитановой руды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Ванадий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Ванадиевая минерализация района представлена проявлением </w:t>
            </w:r>
            <w:proofErr w:type="spellStart"/>
            <w:r w:rsidRPr="003000CA">
              <w:t>Доманиковое</w:t>
            </w:r>
            <w:proofErr w:type="spellEnd"/>
            <w:r w:rsidRPr="003000CA">
              <w:t>. Промышленное значение пока весьма проблематично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Алюминий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Территория Ухтинского административного района в </w:t>
            </w:r>
            <w:proofErr w:type="spellStart"/>
            <w:r w:rsidRPr="003000CA">
              <w:t>минерагеническом</w:t>
            </w:r>
            <w:proofErr w:type="spellEnd"/>
            <w:r w:rsidRPr="003000CA">
              <w:t xml:space="preserve"> отношении относится к Южно-</w:t>
            </w:r>
            <w:proofErr w:type="spellStart"/>
            <w:r w:rsidRPr="003000CA">
              <w:t>Тиманскому</w:t>
            </w:r>
            <w:proofErr w:type="spellEnd"/>
            <w:r w:rsidRPr="003000CA">
              <w:t xml:space="preserve"> </w:t>
            </w:r>
            <w:proofErr w:type="spellStart"/>
            <w:r w:rsidRPr="003000CA">
              <w:t>бокситорудному</w:t>
            </w:r>
            <w:proofErr w:type="spellEnd"/>
            <w:r w:rsidRPr="003000CA">
              <w:t xml:space="preserve"> району.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3000CA">
              <w:t>Выявлены Верхне-</w:t>
            </w:r>
            <w:proofErr w:type="spellStart"/>
            <w:r w:rsidRPr="003000CA">
              <w:t>Вольское</w:t>
            </w:r>
            <w:proofErr w:type="spellEnd"/>
            <w:r w:rsidRPr="003000CA">
              <w:t xml:space="preserve"> и </w:t>
            </w:r>
            <w:proofErr w:type="spellStart"/>
            <w:r w:rsidRPr="003000CA">
              <w:t>Кедвинское</w:t>
            </w:r>
            <w:proofErr w:type="spellEnd"/>
            <w:r w:rsidRPr="003000CA">
              <w:t xml:space="preserve"> месторождения, Верхне-</w:t>
            </w:r>
            <w:proofErr w:type="spellStart"/>
            <w:r w:rsidRPr="003000CA">
              <w:t>Вольское</w:t>
            </w:r>
            <w:proofErr w:type="spellEnd"/>
            <w:r w:rsidRPr="003000CA">
              <w:t xml:space="preserve"> месторождение представлено 1-ой и 2-ой Вольскими залежами. На </w:t>
            </w:r>
            <w:proofErr w:type="spellStart"/>
            <w:r w:rsidRPr="003000CA">
              <w:t>Кедвинском</w:t>
            </w:r>
            <w:proofErr w:type="spellEnd"/>
            <w:r w:rsidRPr="003000CA">
              <w:t xml:space="preserve"> месторождении выявлены Верхне-</w:t>
            </w:r>
            <w:proofErr w:type="spellStart"/>
            <w:r w:rsidRPr="003000CA">
              <w:t>Ухтинская</w:t>
            </w:r>
            <w:proofErr w:type="spellEnd"/>
            <w:r w:rsidRPr="003000CA">
              <w:t xml:space="preserve"> и </w:t>
            </w:r>
            <w:proofErr w:type="spellStart"/>
            <w:r w:rsidRPr="003000CA">
              <w:t>Лоимская</w:t>
            </w:r>
            <w:proofErr w:type="spellEnd"/>
            <w:r w:rsidRPr="003000CA">
              <w:t xml:space="preserve"> залежи. Объекты лишь частично оценены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Тантал, ниобий, редкие земли, галлий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Государственным балансом запасов по </w:t>
            </w:r>
            <w:proofErr w:type="spellStart"/>
            <w:r w:rsidRPr="003000CA">
              <w:t>Ярегскому</w:t>
            </w:r>
            <w:proofErr w:type="spellEnd"/>
            <w:r w:rsidRPr="003000CA">
              <w:t xml:space="preserve"> титановому месторождению учитывается запасы сопутствующих - тантала, ниобия и редкоземельных металлов.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3000CA">
              <w:t xml:space="preserve">Галлий является обычным сопутствующим элементом в бокситах. В случае дальнейших разведочных работ на бокситы встанет и проблема учета запасов галлия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Золото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>Балансом запасов учтено 1 россыпное месторождение золота «</w:t>
            </w:r>
            <w:proofErr w:type="spellStart"/>
            <w:r w:rsidRPr="003000CA">
              <w:t>Кыввожское</w:t>
            </w:r>
            <w:proofErr w:type="spellEnd"/>
            <w:r w:rsidRPr="003000CA">
              <w:t xml:space="preserve">» и </w:t>
            </w:r>
            <w:proofErr w:type="spellStart"/>
            <w:r w:rsidRPr="003000CA">
              <w:t>россыпепроявление</w:t>
            </w:r>
            <w:proofErr w:type="spellEnd"/>
            <w:r w:rsidRPr="003000CA">
              <w:t xml:space="preserve"> «</w:t>
            </w:r>
            <w:proofErr w:type="spellStart"/>
            <w:r w:rsidRPr="003000CA">
              <w:t>Димтемъель</w:t>
            </w:r>
            <w:proofErr w:type="spellEnd"/>
            <w:r w:rsidRPr="003000CA">
              <w:t>».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>В 2013 год</w:t>
            </w:r>
            <w:proofErr w:type="gramStart"/>
            <w:r w:rsidRPr="003000CA">
              <w:t>у ООО</w:t>
            </w:r>
            <w:proofErr w:type="gramEnd"/>
            <w:r w:rsidRPr="003000CA">
              <w:t xml:space="preserve"> «</w:t>
            </w:r>
            <w:proofErr w:type="spellStart"/>
            <w:r w:rsidRPr="003000CA">
              <w:t>Ухтагеосервис</w:t>
            </w:r>
            <w:proofErr w:type="spellEnd"/>
            <w:r w:rsidRPr="003000CA">
              <w:t xml:space="preserve">» получило лицензию на разведку и добычу россыпного золота в пределах </w:t>
            </w:r>
            <w:proofErr w:type="spellStart"/>
            <w:r w:rsidRPr="003000CA">
              <w:t>Кыввожского</w:t>
            </w:r>
            <w:proofErr w:type="spellEnd"/>
            <w:r w:rsidRPr="003000CA">
              <w:t xml:space="preserve"> месторождения.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3000CA">
              <w:lastRenderedPageBreak/>
              <w:t xml:space="preserve">Промышленных россыпей в результате проведенных ранее геологоразведочных работ не выявлено. Но в целом территория изучена недостаточно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suppressAutoHyphens/>
            </w:pPr>
            <w:r w:rsidRPr="003000CA">
              <w:lastRenderedPageBreak/>
              <w:t>Огнеупорные глины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>Попутно с бокситами можно отрабатывать огнеупорные каолиновые глины. Запасы огнеупорных каолиновых глин сопоставимы с запасами бокситов. Прогнозные ресурсы весьма крупные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suppressAutoHyphens/>
            </w:pPr>
            <w:r w:rsidRPr="003000CA">
              <w:t>Известняки флюсовые и для целлюлозно-бумажной промышленности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  <w:highlight w:val="yellow"/>
              </w:rPr>
            </w:pP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В Республике Коми государственным балансом запасов флюсового известняка учитывается только участок Бельгоп-2, являющийся частью крупного </w:t>
            </w:r>
            <w:proofErr w:type="spellStart"/>
            <w:r w:rsidRPr="003000CA">
              <w:t>Бельгопского</w:t>
            </w:r>
            <w:proofErr w:type="spellEnd"/>
            <w:r w:rsidRPr="003000CA">
              <w:t xml:space="preserve"> месторождения известняков.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Месторождение находится в нераспределенном фонде. Запасы флюсового известняка участка по состоянию на 01.01.2024 составляют 25083 тыс. т кат. A+B+C1 и 178317 тыс. т кат. C2.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Участок Бельгоп-4 того же </w:t>
            </w:r>
            <w:proofErr w:type="spellStart"/>
            <w:r w:rsidRPr="003000CA">
              <w:t>Бельгопского</w:t>
            </w:r>
            <w:proofErr w:type="spellEnd"/>
            <w:r w:rsidRPr="003000CA">
              <w:t xml:space="preserve"> месторождения учитывается балансом запасов как месторождение известняков для целлюлозно-бумажной промышленности и известковой муки.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>Запасы известняка участка по состоянию на 01.01.2024 составляют 25380 тыс. т кат. A+B+C1 и 7414 тыс. т кат. C2.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3000CA">
              <w:t xml:space="preserve">Участок не разрабатывается и не разрабатывался ранее, находится в нераспределенном фонде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Цементное сырье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3000CA">
              <w:t>Бельгопское</w:t>
            </w:r>
            <w:proofErr w:type="spellEnd"/>
            <w:r w:rsidRPr="003000CA">
              <w:t xml:space="preserve"> месторождение включает 5 участков цементного сырья: Бельгоп-2 и Бельгоп-3 (известняки), Северный, Южный-2 и Западный (глинистые породы). Эти участки разведывались как сырьевая база будущего </w:t>
            </w:r>
            <w:proofErr w:type="spellStart"/>
            <w:r w:rsidRPr="003000CA">
              <w:t>Ухтинского</w:t>
            </w:r>
            <w:proofErr w:type="spellEnd"/>
            <w:r w:rsidRPr="003000CA">
              <w:t xml:space="preserve"> </w:t>
            </w:r>
            <w:proofErr w:type="spellStart"/>
            <w:r w:rsidRPr="003000CA">
              <w:t>цемзавода</w:t>
            </w:r>
            <w:proofErr w:type="spellEnd"/>
            <w:r w:rsidRPr="003000CA">
              <w:t xml:space="preserve"> мощностью 2300 тыс. т цемента в год. Запасы сырья находятся в нераспределенном фонде </w:t>
            </w:r>
          </w:p>
        </w:tc>
      </w:tr>
      <w:tr w:rsidR="003000CA" w:rsidRPr="003000CA" w:rsidTr="00E2197E">
        <w:trPr>
          <w:trHeight w:val="646"/>
        </w:trPr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Пресные подземные воды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Балансом запасов подземных вод по состоянию на 01.01.2024 числится 18 месторождений питьевых вод </w:t>
            </w:r>
          </w:p>
        </w:tc>
      </w:tr>
      <w:tr w:rsidR="003000CA" w:rsidRPr="003000CA" w:rsidTr="00E2197E">
        <w:trPr>
          <w:trHeight w:val="646"/>
        </w:trPr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Минеральные воды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Балансом запасов по состоянию на 01.01.2024 числится 3 месторождения минеральных вод </w:t>
            </w:r>
          </w:p>
        </w:tc>
      </w:tr>
      <w:tr w:rsidR="003000CA" w:rsidRPr="003000CA" w:rsidTr="00E2197E">
        <w:trPr>
          <w:trHeight w:val="604"/>
        </w:trPr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t>Технические воды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Балансом запасов по состоянию на 01.01.2024 числится 3 месторождения технических вод </w:t>
            </w:r>
          </w:p>
        </w:tc>
      </w:tr>
      <w:tr w:rsidR="003000CA" w:rsidRPr="003000CA" w:rsidTr="00E2197E">
        <w:tc>
          <w:tcPr>
            <w:tcW w:w="204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Лечебные грязи</w:t>
            </w:r>
          </w:p>
        </w:tc>
        <w:tc>
          <w:tcPr>
            <w:tcW w:w="7371" w:type="dxa"/>
          </w:tcPr>
          <w:p w:rsidR="003000CA" w:rsidRPr="003000CA" w:rsidRDefault="003000CA" w:rsidP="003000CA">
            <w:pPr>
              <w:suppressAutoHyphens/>
              <w:ind w:firstLine="567"/>
              <w:jc w:val="both"/>
            </w:pPr>
            <w:r w:rsidRPr="003000CA">
              <w:t xml:space="preserve">На месторождении Озеро Пионерское (ГБУЗ «Ухтинская физиотерапевтическая поликлиника») сапропели относятся к </w:t>
            </w:r>
            <w:proofErr w:type="gramStart"/>
            <w:r w:rsidRPr="003000CA">
              <w:t>низкозольным</w:t>
            </w:r>
            <w:proofErr w:type="gramEnd"/>
            <w:r w:rsidRPr="003000CA">
              <w:t xml:space="preserve">, водорослевым и по бальнеологическому заключению Всесоюзного центра медицинской реабилитации и физиотерапии могут применяться при заболеваниях опорно-двигательного аппарата, кожных заболеваниях, для лечения пародонтита и пародонтозов, гинекологических заболеваний. </w:t>
            </w:r>
          </w:p>
          <w:p w:rsidR="003000CA" w:rsidRPr="003000CA" w:rsidRDefault="003000CA" w:rsidP="003000CA">
            <w:pPr>
              <w:suppressAutoHyphens/>
              <w:ind w:firstLine="567"/>
              <w:jc w:val="both"/>
              <w:rPr>
                <w:rFonts w:eastAsiaTheme="minorHAnsi"/>
                <w:lang w:eastAsia="en-US"/>
              </w:rPr>
            </w:pPr>
            <w:r w:rsidRPr="003000CA">
              <w:t>Запасы известняка участка по состоянию на 01.01.2024 составляют 193595 тыс. т кат. A+B+C1. С 2012 по 2023 год добыча не производилась</w:t>
            </w:r>
          </w:p>
        </w:tc>
      </w:tr>
    </w:tbl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  <w:highlight w:val="yellow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Земельные ресурсы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>Общая земельная площадь муниципального образования составляет 1326,11 тыс. га, в том числе: земли лесного фонда - 1283,56 тыс. га (96,80 %); земли сельскохозяйственного назначения - 21,26 тыс. га (1,60 %); земли населенных пунктов - 14,28 тыс. га (1,08 %); земли промышленности, энергетики, транспорта, связи и иного назначения - 3,98 тыс. га (0,30 %); земли особо охраняемых территорий и объектов - 0,036</w:t>
      </w:r>
      <w:r w:rsidRPr="003000CA">
        <w:rPr>
          <w:rFonts w:eastAsiaTheme="minorEastAsia"/>
          <w:color w:val="FF0000"/>
          <w:sz w:val="24"/>
          <w:szCs w:val="24"/>
        </w:rPr>
        <w:t xml:space="preserve"> </w:t>
      </w:r>
      <w:r w:rsidRPr="003000CA">
        <w:rPr>
          <w:rFonts w:eastAsiaTheme="minorEastAsia"/>
          <w:sz w:val="24"/>
          <w:szCs w:val="24"/>
        </w:rPr>
        <w:t>тыс. га;</w:t>
      </w:r>
      <w:proofErr w:type="gramEnd"/>
      <w:r w:rsidRPr="003000CA">
        <w:rPr>
          <w:rFonts w:eastAsiaTheme="minorEastAsia"/>
          <w:sz w:val="24"/>
          <w:szCs w:val="24"/>
        </w:rPr>
        <w:t xml:space="preserve"> земли водного фонда - 0,94 тыс. га (0,07 %); земли запаса - 2,07 тыс. га (0,15 %).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Лесные ресурсы</w:t>
      </w:r>
    </w:p>
    <w:p w:rsidR="003000CA" w:rsidRPr="003000CA" w:rsidRDefault="003000CA" w:rsidP="003000CA">
      <w:pPr>
        <w:suppressAutoHyphens/>
        <w:ind w:firstLine="567"/>
        <w:jc w:val="center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suppressAutoHyphens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Общая площадь земель лесного фонда Ухтинского лесничества составила 1280,1 </w:t>
      </w:r>
      <w:r w:rsidRPr="003000CA">
        <w:rPr>
          <w:rFonts w:eastAsiaTheme="minorHAnsi"/>
          <w:sz w:val="24"/>
          <w:szCs w:val="24"/>
          <w:lang w:eastAsia="en-US"/>
        </w:rPr>
        <w:t>тыс. га</w:t>
      </w:r>
      <w:r w:rsidRPr="003000CA">
        <w:rPr>
          <w:rFonts w:eastAsiaTheme="minorEastAsia"/>
          <w:sz w:val="24"/>
          <w:szCs w:val="24"/>
        </w:rPr>
        <w:t xml:space="preserve">, в том числе лесные земли - 1151,1 </w:t>
      </w:r>
      <w:r w:rsidRPr="003000CA">
        <w:rPr>
          <w:rFonts w:eastAsiaTheme="minorHAnsi"/>
          <w:sz w:val="24"/>
          <w:szCs w:val="24"/>
          <w:lang w:eastAsia="en-US"/>
        </w:rPr>
        <w:t>тыс. га</w:t>
      </w:r>
      <w:r w:rsidRPr="003000CA">
        <w:rPr>
          <w:rFonts w:eastAsiaTheme="minorEastAsia"/>
          <w:sz w:val="24"/>
          <w:szCs w:val="24"/>
        </w:rPr>
        <w:t xml:space="preserve">, из нее покрытые лесной растительностью - 1146,1 </w:t>
      </w:r>
      <w:r w:rsidRPr="003000CA">
        <w:rPr>
          <w:rFonts w:eastAsiaTheme="minorHAnsi"/>
          <w:sz w:val="24"/>
          <w:szCs w:val="24"/>
          <w:lang w:eastAsia="en-US"/>
        </w:rPr>
        <w:t>тыс. га</w:t>
      </w:r>
      <w:r w:rsidRPr="003000CA">
        <w:rPr>
          <w:rFonts w:eastAsiaTheme="minorEastAsia"/>
          <w:sz w:val="24"/>
          <w:szCs w:val="24"/>
        </w:rPr>
        <w:t>.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Общий запас насаждений составил 103,6 </w:t>
      </w:r>
      <w:proofErr w:type="gramStart"/>
      <w:r w:rsidRPr="003000CA">
        <w:rPr>
          <w:rFonts w:eastAsiaTheme="minorEastAsia"/>
          <w:sz w:val="24"/>
          <w:szCs w:val="24"/>
        </w:rPr>
        <w:t>млн</w:t>
      </w:r>
      <w:proofErr w:type="gramEnd"/>
      <w:r w:rsidRPr="003000CA">
        <w:rPr>
          <w:rFonts w:eastAsiaTheme="minorEastAsia"/>
          <w:sz w:val="24"/>
          <w:szCs w:val="24"/>
        </w:rPr>
        <w:t xml:space="preserve"> куб. м.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lastRenderedPageBreak/>
        <w:t>Лесистость в муниципальном образовании составляет 87,6 % при средней лесистости в республике 72,7 %.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  <w:highlight w:val="yellow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Поверхностные воды</w:t>
      </w:r>
    </w:p>
    <w:p w:rsidR="003000CA" w:rsidRPr="003000CA" w:rsidRDefault="003000CA" w:rsidP="003000CA">
      <w:pPr>
        <w:suppressAutoHyphens/>
        <w:ind w:firstLine="567"/>
        <w:jc w:val="both"/>
        <w:rPr>
          <w:sz w:val="28"/>
          <w:szCs w:val="28"/>
        </w:rPr>
      </w:pPr>
    </w:p>
    <w:p w:rsidR="003000CA" w:rsidRPr="003000CA" w:rsidRDefault="003000CA" w:rsidP="003000CA">
      <w:pPr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Гидрографическая сеть муниципального образования относится к бассейну р. Ижма. Общая длина р. Ижма 531 км, площадь бассейна - 31,0 тыс. кв. км. Река берет начало </w:t>
      </w:r>
      <w:proofErr w:type="gramStart"/>
      <w:r w:rsidRPr="003000CA">
        <w:rPr>
          <w:sz w:val="24"/>
          <w:szCs w:val="24"/>
        </w:rPr>
        <w:t>на</w:t>
      </w:r>
      <w:proofErr w:type="gramEnd"/>
      <w:r w:rsidRPr="003000CA">
        <w:rPr>
          <w:sz w:val="24"/>
          <w:szCs w:val="24"/>
        </w:rPr>
        <w:t xml:space="preserve"> Южном </w:t>
      </w:r>
      <w:proofErr w:type="spellStart"/>
      <w:r w:rsidRPr="003000CA">
        <w:rPr>
          <w:sz w:val="24"/>
          <w:szCs w:val="24"/>
        </w:rPr>
        <w:t>Тимане</w:t>
      </w:r>
      <w:proofErr w:type="spellEnd"/>
      <w:r w:rsidRPr="003000CA">
        <w:rPr>
          <w:sz w:val="24"/>
          <w:szCs w:val="24"/>
        </w:rPr>
        <w:t xml:space="preserve"> с плато </w:t>
      </w:r>
      <w:proofErr w:type="spellStart"/>
      <w:r w:rsidRPr="003000CA">
        <w:rPr>
          <w:sz w:val="24"/>
          <w:szCs w:val="24"/>
        </w:rPr>
        <w:t>Нальдогкерос</w:t>
      </w:r>
      <w:proofErr w:type="spellEnd"/>
      <w:r w:rsidRPr="003000CA">
        <w:rPr>
          <w:sz w:val="24"/>
          <w:szCs w:val="24"/>
        </w:rPr>
        <w:t xml:space="preserve">. Это многоводная, типично равнинная река, питание смешанное, с преобладанием </w:t>
      </w:r>
      <w:proofErr w:type="gramStart"/>
      <w:r w:rsidRPr="003000CA">
        <w:rPr>
          <w:sz w:val="24"/>
          <w:szCs w:val="24"/>
        </w:rPr>
        <w:t>снегового</w:t>
      </w:r>
      <w:proofErr w:type="gramEnd"/>
      <w:r w:rsidRPr="003000CA">
        <w:rPr>
          <w:sz w:val="24"/>
          <w:szCs w:val="24"/>
        </w:rPr>
        <w:t>.</w:t>
      </w:r>
    </w:p>
    <w:p w:rsidR="003000CA" w:rsidRPr="003000CA" w:rsidRDefault="003000CA" w:rsidP="003000CA">
      <w:pPr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 своем пути р. Ижма принимает ряд притоков. Наиболее крупные из них, протекающие по территории муниципального образования: реки </w:t>
      </w:r>
      <w:proofErr w:type="spellStart"/>
      <w:r w:rsidRPr="003000CA">
        <w:rPr>
          <w:sz w:val="24"/>
          <w:szCs w:val="24"/>
        </w:rPr>
        <w:t>Кедва</w:t>
      </w:r>
      <w:proofErr w:type="spellEnd"/>
      <w:r w:rsidRPr="003000CA">
        <w:rPr>
          <w:sz w:val="24"/>
          <w:szCs w:val="24"/>
        </w:rPr>
        <w:t xml:space="preserve">, Ухта, </w:t>
      </w:r>
      <w:proofErr w:type="spellStart"/>
      <w:r w:rsidRPr="003000CA">
        <w:rPr>
          <w:sz w:val="24"/>
          <w:szCs w:val="24"/>
        </w:rPr>
        <w:t>Седъю</w:t>
      </w:r>
      <w:proofErr w:type="spellEnd"/>
      <w:r w:rsidRPr="003000CA">
        <w:rPr>
          <w:sz w:val="24"/>
          <w:szCs w:val="24"/>
        </w:rPr>
        <w:t>.</w:t>
      </w:r>
    </w:p>
    <w:p w:rsidR="003000CA" w:rsidRPr="003000CA" w:rsidRDefault="003000CA" w:rsidP="003000CA">
      <w:pPr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Река </w:t>
      </w:r>
      <w:proofErr w:type="spellStart"/>
      <w:r w:rsidRPr="003000CA">
        <w:rPr>
          <w:sz w:val="24"/>
          <w:szCs w:val="24"/>
        </w:rPr>
        <w:t>Кедва</w:t>
      </w:r>
      <w:proofErr w:type="spellEnd"/>
      <w:r w:rsidRPr="003000CA">
        <w:rPr>
          <w:sz w:val="24"/>
          <w:szCs w:val="24"/>
        </w:rPr>
        <w:t xml:space="preserve"> - левый приток р. Ижма (длина реки - 47 км, площадь водосбора - 3,46 тыс. кв. км).</w:t>
      </w:r>
    </w:p>
    <w:p w:rsidR="003000CA" w:rsidRPr="003000CA" w:rsidRDefault="003000CA" w:rsidP="003000CA">
      <w:pPr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Образуется от слияния двух рек Белой и Черной </w:t>
      </w:r>
      <w:proofErr w:type="spellStart"/>
      <w:r w:rsidRPr="003000CA">
        <w:rPr>
          <w:sz w:val="24"/>
          <w:szCs w:val="24"/>
        </w:rPr>
        <w:t>Кедвы</w:t>
      </w:r>
      <w:proofErr w:type="spellEnd"/>
      <w:r w:rsidRPr="003000CA">
        <w:rPr>
          <w:sz w:val="24"/>
          <w:szCs w:val="24"/>
        </w:rPr>
        <w:t>.</w:t>
      </w:r>
    </w:p>
    <w:p w:rsidR="003000CA" w:rsidRPr="003000CA" w:rsidRDefault="003000CA" w:rsidP="003000CA">
      <w:pPr>
        <w:suppressAutoHyphens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Река Ухта - левый приток р. Ижма, длина - 199 км, площадь бассейна - 4,51 тыс. кв. км.</w:t>
      </w:r>
      <w:proofErr w:type="gramEnd"/>
      <w:r w:rsidRPr="003000CA">
        <w:rPr>
          <w:sz w:val="24"/>
          <w:szCs w:val="24"/>
        </w:rPr>
        <w:t xml:space="preserve"> Образуется от слияния рек </w:t>
      </w:r>
      <w:proofErr w:type="spellStart"/>
      <w:r w:rsidRPr="003000CA">
        <w:rPr>
          <w:sz w:val="24"/>
          <w:szCs w:val="24"/>
        </w:rPr>
        <w:t>Войвож</w:t>
      </w:r>
      <w:proofErr w:type="spellEnd"/>
      <w:r w:rsidRPr="003000CA">
        <w:rPr>
          <w:sz w:val="24"/>
          <w:szCs w:val="24"/>
        </w:rPr>
        <w:t xml:space="preserve"> и </w:t>
      </w:r>
      <w:proofErr w:type="spellStart"/>
      <w:r w:rsidRPr="003000CA">
        <w:rPr>
          <w:sz w:val="24"/>
          <w:szCs w:val="24"/>
        </w:rPr>
        <w:t>Лунвож</w:t>
      </w:r>
      <w:proofErr w:type="spellEnd"/>
      <w:r w:rsidRPr="003000CA">
        <w:rPr>
          <w:sz w:val="24"/>
          <w:szCs w:val="24"/>
        </w:rPr>
        <w:t xml:space="preserve">. Рельеф водосбора р. Ухта - </w:t>
      </w:r>
      <w:proofErr w:type="spellStart"/>
      <w:r w:rsidRPr="003000CA">
        <w:rPr>
          <w:sz w:val="24"/>
          <w:szCs w:val="24"/>
        </w:rPr>
        <w:t>пологоувалистое</w:t>
      </w:r>
      <w:proofErr w:type="spellEnd"/>
      <w:r w:rsidRPr="003000CA">
        <w:rPr>
          <w:sz w:val="24"/>
          <w:szCs w:val="24"/>
        </w:rPr>
        <w:t>, холмистое плато, расчлененное реками и ручьями. Водораздельные пространства - плоские заболоченные равнины, чередующиеся с холмистыми возвышенностями с абсолютными отметками до 140 - 160 м. Питание р. Ухта смешанное с преобладанием снегового. Среднегодовой расход воды у г. Ухта - 47,1 куб. м/</w:t>
      </w:r>
      <w:proofErr w:type="gramStart"/>
      <w:r w:rsidRPr="003000CA">
        <w:rPr>
          <w:sz w:val="24"/>
          <w:szCs w:val="24"/>
        </w:rPr>
        <w:t>с</w:t>
      </w:r>
      <w:proofErr w:type="gramEnd"/>
      <w:r w:rsidRPr="003000CA">
        <w:rPr>
          <w:sz w:val="24"/>
          <w:szCs w:val="24"/>
        </w:rPr>
        <w:t>.</w:t>
      </w:r>
    </w:p>
    <w:p w:rsidR="003000CA" w:rsidRPr="003000CA" w:rsidRDefault="003000CA" w:rsidP="003000CA">
      <w:pPr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Общая длина речной сети в пределах муниципального образования составляет 6 584,9 км, густота речной сети - 0,5 км/кв. км.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ascii="Calibri" w:eastAsiaTheme="minorEastAsia" w:hAnsi="Calibri" w:cs="Calibri"/>
          <w:sz w:val="22"/>
          <w:szCs w:val="22"/>
          <w:highlight w:val="yellow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Социально-экономическая ситуация муниципального округа «Ухта»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ascii="Calibri" w:eastAsiaTheme="minorEastAsia" w:hAnsi="Calibri" w:cs="Calibri"/>
          <w:sz w:val="22"/>
          <w:szCs w:val="22"/>
          <w:highlight w:val="yellow"/>
        </w:rPr>
      </w:pP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Демографическая ситуация в муниципальном образовании на протяжении ряда лет характеризуется сокращением численности населения, тенденцией к снижению рождаемости, отрицательным естественным приростом и миграционной убылью.</w:t>
      </w:r>
    </w:p>
    <w:p w:rsidR="003000CA" w:rsidRPr="003000CA" w:rsidRDefault="003000CA" w:rsidP="003000CA">
      <w:pPr>
        <w:spacing w:after="20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Численность постоянного населения муниципального округа «Ухта», по данным Территориального органа Федеральной службы Государственной статистики по Республике Коми (далее - </w:t>
      </w:r>
      <w:proofErr w:type="spellStart"/>
      <w:r w:rsidRPr="003000CA">
        <w:rPr>
          <w:spacing w:val="-2"/>
          <w:sz w:val="24"/>
          <w:szCs w:val="24"/>
        </w:rPr>
        <w:t>Комистат</w:t>
      </w:r>
      <w:proofErr w:type="spellEnd"/>
      <w:r w:rsidRPr="003000CA">
        <w:rPr>
          <w:spacing w:val="-2"/>
          <w:sz w:val="24"/>
          <w:szCs w:val="24"/>
        </w:rPr>
        <w:t>), на 01.01.2025 составила 92,9 тыс. человек, что меньше численности населения на 01.01.2024 на 0,2 тыс. человек.</w:t>
      </w:r>
    </w:p>
    <w:p w:rsidR="003000CA" w:rsidRPr="003000CA" w:rsidRDefault="003000CA" w:rsidP="003000CA">
      <w:pPr>
        <w:spacing w:after="20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Информация о численности и составу населения с учетом итогов Всероссийской переписи населения 2020 года (далее - ВПН -2020) за 2021-2023 гг. представлена в таблице 2.</w:t>
      </w: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1C528C" w:rsidRDefault="001C528C" w:rsidP="003000CA">
      <w:pPr>
        <w:ind w:firstLine="567"/>
        <w:jc w:val="right"/>
        <w:rPr>
          <w:spacing w:val="-2"/>
          <w:sz w:val="24"/>
          <w:szCs w:val="24"/>
        </w:rPr>
      </w:pPr>
    </w:p>
    <w:p w:rsidR="003000CA" w:rsidRPr="003000CA" w:rsidRDefault="003000CA" w:rsidP="003000CA">
      <w:pPr>
        <w:ind w:firstLine="567"/>
        <w:jc w:val="right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lastRenderedPageBreak/>
        <w:t>Таблица 2</w:t>
      </w:r>
    </w:p>
    <w:p w:rsidR="003000CA" w:rsidRPr="003000CA" w:rsidRDefault="003000CA" w:rsidP="003000CA">
      <w:pPr>
        <w:ind w:firstLine="567"/>
        <w:jc w:val="right"/>
        <w:rPr>
          <w:spacing w:val="-2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1701"/>
        <w:gridCol w:w="1701"/>
        <w:gridCol w:w="1843"/>
      </w:tblGrid>
      <w:tr w:rsidR="003000CA" w:rsidRPr="003000CA" w:rsidTr="00E2197E"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Наименование показателя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2021 год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363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2022 год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222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2023 год</w:t>
            </w:r>
          </w:p>
        </w:tc>
      </w:tr>
      <w:tr w:rsidR="003000CA" w:rsidRPr="003000CA" w:rsidTr="00E2197E">
        <w:trPr>
          <w:trHeight w:val="460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3000CA">
              <w:rPr>
                <w:spacing w:val="-2"/>
              </w:rPr>
              <w:t>Численность постоянного населения, тыс. человек (на конец года), в том числе: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95,7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94,2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93,1</w:t>
            </w:r>
          </w:p>
        </w:tc>
      </w:tr>
      <w:tr w:rsidR="003000CA" w:rsidRPr="003000CA" w:rsidTr="00E2197E">
        <w:trPr>
          <w:trHeight w:val="301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>городское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94,0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92,6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91,5</w:t>
            </w:r>
          </w:p>
        </w:tc>
      </w:tr>
      <w:tr w:rsidR="003000CA" w:rsidRPr="003000CA" w:rsidTr="00E2197E">
        <w:trPr>
          <w:trHeight w:val="227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>сельское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1,7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1,6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1,6</w:t>
            </w:r>
          </w:p>
        </w:tc>
      </w:tr>
      <w:tr w:rsidR="003000CA" w:rsidRPr="003000CA" w:rsidTr="00E2197E"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 xml:space="preserve">    по возрасту </w:t>
            </w:r>
            <w:r w:rsidRPr="003000CA">
              <w:rPr>
                <w:spacing w:val="-2"/>
                <w:vertAlign w:val="superscript"/>
              </w:rPr>
              <w:t>1)</w:t>
            </w:r>
            <w:r w:rsidRPr="003000CA">
              <w:rPr>
                <w:spacing w:val="-2"/>
              </w:rPr>
              <w:t>: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</w:p>
        </w:tc>
      </w:tr>
      <w:tr w:rsidR="003000CA" w:rsidRPr="003000CA" w:rsidTr="00E2197E"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>моложе трудоспособного (0-15 лет)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16,5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17,1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16,8</w:t>
            </w:r>
          </w:p>
        </w:tc>
      </w:tr>
      <w:tr w:rsidR="003000CA" w:rsidRPr="003000CA" w:rsidTr="00E2197E"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 xml:space="preserve">в трудоспособном 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57,4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55,1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55,3</w:t>
            </w:r>
          </w:p>
        </w:tc>
      </w:tr>
      <w:tr w:rsidR="003000CA" w:rsidRPr="003000CA" w:rsidTr="00E2197E"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 xml:space="preserve">старше трудоспособного 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21,8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22,0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21,0</w:t>
            </w:r>
          </w:p>
        </w:tc>
      </w:tr>
      <w:tr w:rsidR="003000CA" w:rsidRPr="003000CA" w:rsidTr="00E2197E"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3000CA">
              <w:rPr>
                <w:spacing w:val="-2"/>
              </w:rPr>
              <w:t>Число родившихся, человек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901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810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 xml:space="preserve">797 </w:t>
            </w:r>
          </w:p>
        </w:tc>
      </w:tr>
      <w:tr w:rsidR="003000CA" w:rsidRPr="003000CA" w:rsidTr="00E2197E">
        <w:trPr>
          <w:trHeight w:val="315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3000CA">
              <w:rPr>
                <w:spacing w:val="-2"/>
              </w:rPr>
              <w:t>Число умерших, человек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1708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1329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1204</w:t>
            </w:r>
          </w:p>
        </w:tc>
      </w:tr>
      <w:tr w:rsidR="003000CA" w:rsidRPr="003000CA" w:rsidTr="00E2197E">
        <w:trPr>
          <w:trHeight w:val="433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3000CA">
              <w:rPr>
                <w:spacing w:val="-2"/>
              </w:rPr>
              <w:t>Естественный прирост, убыль</w:t>
            </w:r>
            <w:proofErr w:type="gramStart"/>
            <w:r w:rsidRPr="003000CA">
              <w:rPr>
                <w:spacing w:val="-2"/>
              </w:rPr>
              <w:t xml:space="preserve"> (-), </w:t>
            </w:r>
            <w:proofErr w:type="gramEnd"/>
            <w:r w:rsidRPr="003000CA">
              <w:rPr>
                <w:spacing w:val="-2"/>
              </w:rPr>
              <w:t>человек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-807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-519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ind w:firstLine="567"/>
              <w:jc w:val="center"/>
              <w:rPr>
                <w:spacing w:val="-2"/>
                <w:lang w:eastAsia="en-US"/>
              </w:rPr>
            </w:pPr>
            <w:r w:rsidRPr="003000CA">
              <w:rPr>
                <w:spacing w:val="-2"/>
                <w:lang w:eastAsia="en-US"/>
              </w:rPr>
              <w:t>-407</w:t>
            </w:r>
          </w:p>
        </w:tc>
      </w:tr>
      <w:tr w:rsidR="003000CA" w:rsidRPr="003000CA" w:rsidTr="00E2197E">
        <w:trPr>
          <w:trHeight w:val="332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3000CA">
              <w:rPr>
                <w:spacing w:val="-2"/>
              </w:rPr>
              <w:t>Число прибывших, человек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2707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2329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ind w:firstLine="567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000CA">
              <w:rPr>
                <w:spacing w:val="-2"/>
                <w:lang w:eastAsia="en-US"/>
              </w:rPr>
              <w:t>2064</w:t>
            </w:r>
          </w:p>
        </w:tc>
      </w:tr>
      <w:tr w:rsidR="003000CA" w:rsidRPr="003000CA" w:rsidTr="00E2197E">
        <w:trPr>
          <w:trHeight w:val="295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spacing w:val="-2"/>
              </w:rPr>
            </w:pPr>
            <w:r w:rsidRPr="003000CA">
              <w:rPr>
                <w:spacing w:val="-2"/>
              </w:rPr>
              <w:t>Число выбывших, человек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3558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3359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ind w:firstLine="567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000CA">
              <w:rPr>
                <w:spacing w:val="-2"/>
                <w:lang w:eastAsia="en-US"/>
              </w:rPr>
              <w:t>2729</w:t>
            </w:r>
          </w:p>
        </w:tc>
      </w:tr>
      <w:tr w:rsidR="003000CA" w:rsidRPr="003000CA" w:rsidTr="00E2197E">
        <w:trPr>
          <w:trHeight w:val="489"/>
        </w:trPr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spacing w:val="-2"/>
              </w:rPr>
            </w:pPr>
            <w:r w:rsidRPr="003000CA">
              <w:rPr>
                <w:spacing w:val="-2"/>
              </w:rPr>
              <w:t>Прирост, убыль</w:t>
            </w:r>
            <w:proofErr w:type="gramStart"/>
            <w:r w:rsidRPr="003000CA">
              <w:rPr>
                <w:spacing w:val="-2"/>
              </w:rPr>
              <w:t xml:space="preserve"> (-) </w:t>
            </w:r>
            <w:proofErr w:type="gramEnd"/>
            <w:r w:rsidRPr="003000CA">
              <w:rPr>
                <w:spacing w:val="-2"/>
              </w:rPr>
              <w:t>населения за счет миграции, человек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-851</w:t>
            </w:r>
          </w:p>
        </w:tc>
        <w:tc>
          <w:tcPr>
            <w:tcW w:w="170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spacing w:val="-2"/>
              </w:rPr>
            </w:pPr>
            <w:r w:rsidRPr="003000CA">
              <w:rPr>
                <w:spacing w:val="-2"/>
              </w:rPr>
              <w:t>-1030</w:t>
            </w:r>
          </w:p>
        </w:tc>
        <w:tc>
          <w:tcPr>
            <w:tcW w:w="1843" w:type="dxa"/>
          </w:tcPr>
          <w:p w:rsidR="003000CA" w:rsidRPr="003000CA" w:rsidRDefault="003000CA" w:rsidP="003000CA">
            <w:pPr>
              <w:ind w:firstLine="567"/>
              <w:jc w:val="center"/>
              <w:rPr>
                <w:spacing w:val="-2"/>
                <w:lang w:eastAsia="en-US"/>
              </w:rPr>
            </w:pPr>
            <w:r w:rsidRPr="003000CA">
              <w:rPr>
                <w:spacing w:val="-2"/>
                <w:lang w:eastAsia="en-US"/>
              </w:rPr>
              <w:t>-665</w:t>
            </w:r>
          </w:p>
        </w:tc>
      </w:tr>
    </w:tbl>
    <w:p w:rsidR="003000CA" w:rsidRPr="003000CA" w:rsidRDefault="003000CA" w:rsidP="003000CA">
      <w:pPr>
        <w:widowControl w:val="0"/>
        <w:spacing w:before="60" w:after="200" w:line="276" w:lineRule="auto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 w:rsidRPr="003000C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__________________________________________________</w:t>
      </w:r>
    </w:p>
    <w:p w:rsidR="003000CA" w:rsidRPr="003000CA" w:rsidRDefault="003000CA" w:rsidP="003000CA">
      <w:pPr>
        <w:widowControl w:val="0"/>
        <w:numPr>
          <w:ilvl w:val="0"/>
          <w:numId w:val="26"/>
        </w:numPr>
        <w:spacing w:before="60" w:after="200" w:line="276" w:lineRule="auto"/>
        <w:ind w:left="0" w:firstLine="567"/>
        <w:contextualSpacing/>
        <w:jc w:val="both"/>
        <w:rPr>
          <w:i/>
        </w:rPr>
      </w:pPr>
      <w:proofErr w:type="gramStart"/>
      <w:r w:rsidRPr="003000CA">
        <w:rPr>
          <w:i/>
        </w:rPr>
        <w:t>к населению трудоспособного возраста на 1 января 2022-2023 гг. отнесены мужчины в возрасте 16-61 года, женщины - 16-56 лет;  на 1 января 2024 г. - мужчины в возрасте 16-62 лет, женщины - 16-57 лет; к населению старше трудоспособного возраста на 1 января 2022-2023 гг. отнесены мужчины в возрасте 62 лет и старше, женщины - 57 лет и старше;</w:t>
      </w:r>
      <w:proofErr w:type="gramEnd"/>
      <w:r w:rsidRPr="003000CA">
        <w:rPr>
          <w:i/>
        </w:rPr>
        <w:t xml:space="preserve"> на 1 января 2024 г. - мужчины в возрасте 63 лет и старше, женщины - 58 лет и старше</w:t>
      </w:r>
    </w:p>
    <w:p w:rsidR="003000CA" w:rsidRPr="003000CA" w:rsidRDefault="003000CA" w:rsidP="003000CA">
      <w:pPr>
        <w:widowControl w:val="0"/>
        <w:spacing w:before="60"/>
        <w:ind w:left="567"/>
        <w:contextualSpacing/>
        <w:jc w:val="both"/>
        <w:rPr>
          <w:i/>
        </w:rPr>
      </w:pP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С 2021 года отмечался ежегодное снижение естественной убыли населения за счет снижения смертности.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Средний возраст населения составляет 41 год. В структуре численности населения муниципального образования остается характерным доминирование женского населения </w:t>
      </w:r>
      <w:proofErr w:type="gramStart"/>
      <w:r w:rsidRPr="003000CA">
        <w:rPr>
          <w:spacing w:val="-2"/>
          <w:sz w:val="24"/>
          <w:szCs w:val="24"/>
        </w:rPr>
        <w:t>над</w:t>
      </w:r>
      <w:proofErr w:type="gramEnd"/>
      <w:r w:rsidRPr="003000CA">
        <w:rPr>
          <w:spacing w:val="-2"/>
          <w:sz w:val="24"/>
          <w:szCs w:val="24"/>
        </w:rPr>
        <w:t xml:space="preserve"> мужским: на конец 2023 года из общей численности населения  численность женщин составила 50,0 тыс. человек или 53,7 %.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Доля лиц старше трудоспособного возраста превышает долю лиц моложе трудоспособного возраста.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Количество </w:t>
      </w:r>
      <w:proofErr w:type="gramStart"/>
      <w:r w:rsidRPr="003000CA">
        <w:rPr>
          <w:spacing w:val="-2"/>
          <w:sz w:val="24"/>
          <w:szCs w:val="24"/>
        </w:rPr>
        <w:t>выбывших</w:t>
      </w:r>
      <w:proofErr w:type="gramEnd"/>
      <w:r w:rsidRPr="003000CA">
        <w:rPr>
          <w:spacing w:val="-2"/>
          <w:sz w:val="24"/>
          <w:szCs w:val="24"/>
        </w:rPr>
        <w:t xml:space="preserve"> за последние годы постепенно снижается, однако, миграционный отток населения, в том числе в трудоспособном возрасте, остается ключевой проблемой.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left="900" w:hanging="333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Образование, молодёжная политика    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  <w:highlight w:val="cyan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 территории муниципального округа «Ухта» функционируют 38 дошкольных образовательных организаций с количеством воспитанников 5991 человек, охват детей в возрасте 1 - 6 лет дошкольным образованием составляет 100,0 %.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Численность педагогических работников составляет 790 человек. Уровень удовлетворенности родителей (законных представителей) качеством дошкольного образования составляет 95,0 %. В дошкольных образовательных организациях внедряется инклюзивное образование. Доля детей с инвалидностью в возрасте от 1,5 до 7 лет, </w:t>
      </w:r>
      <w:r w:rsidRPr="003000CA">
        <w:rPr>
          <w:sz w:val="24"/>
          <w:szCs w:val="24"/>
        </w:rPr>
        <w:lastRenderedPageBreak/>
        <w:t>охваченных дошкольным образованием, составляет 96,0 % в общей численности детей-инвалидов данного возраста.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trike/>
          <w:sz w:val="24"/>
          <w:szCs w:val="24"/>
        </w:rPr>
      </w:pPr>
      <w:proofErr w:type="gramStart"/>
      <w:r w:rsidRPr="003000CA">
        <w:rPr>
          <w:sz w:val="24"/>
          <w:szCs w:val="24"/>
        </w:rPr>
        <w:t>Обучение по образовательным программам начального, основного и среднего общего образования осуществляют в 25 организациях, из них 10 имеют отдельные классы для обучающихся с ограниченными возможностями здоровья.</w:t>
      </w:r>
      <w:proofErr w:type="gramEnd"/>
      <w:r w:rsidRPr="003000CA">
        <w:rPr>
          <w:sz w:val="24"/>
          <w:szCs w:val="24"/>
        </w:rPr>
        <w:t xml:space="preserve"> Всего в общеобразовательных организациях обучается 12616 учащихся. Преподавательскую деятельность в организациях осуществляют 615 учителей, на одного учителя приходится 20,6 обучающихся. </w:t>
      </w:r>
    </w:p>
    <w:p w:rsidR="003000CA" w:rsidRPr="003000CA" w:rsidRDefault="003000CA" w:rsidP="003000CA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bCs/>
          <w:sz w:val="24"/>
          <w:szCs w:val="24"/>
          <w:lang w:eastAsia="en-US"/>
        </w:rPr>
        <w:t xml:space="preserve">Результаты государственной итоговой аттестации подтверждают в целом стабильный уровень </w:t>
      </w:r>
      <w:proofErr w:type="spellStart"/>
      <w:r w:rsidRPr="003000CA">
        <w:rPr>
          <w:rFonts w:eastAsiaTheme="minorHAnsi"/>
          <w:bCs/>
          <w:sz w:val="24"/>
          <w:szCs w:val="24"/>
          <w:lang w:eastAsia="en-US"/>
        </w:rPr>
        <w:t>обученности</w:t>
      </w:r>
      <w:proofErr w:type="spellEnd"/>
      <w:r w:rsidRPr="003000CA">
        <w:rPr>
          <w:rFonts w:eastAsiaTheme="minorHAnsi"/>
          <w:bCs/>
          <w:sz w:val="24"/>
          <w:szCs w:val="24"/>
          <w:lang w:eastAsia="en-US"/>
        </w:rPr>
        <w:t xml:space="preserve"> выпускников, соответствующий требованиям федеральных государственных образовательных стандартов.</w:t>
      </w:r>
      <w:r w:rsidRPr="003000CA">
        <w:rPr>
          <w:rFonts w:eastAsiaTheme="minorHAnsi"/>
          <w:sz w:val="24"/>
          <w:szCs w:val="24"/>
          <w:lang w:eastAsia="en-US"/>
        </w:rPr>
        <w:t xml:space="preserve"> Медали «За особые успехи в учении» Российской Федерации  и Республики Коми ежегодно получают 12,0 % выпускников.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 01.01.2024 дополнительное образование реализовывали 78 организаций: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3 организации дополнительного образования: МУ </w:t>
      </w:r>
      <w:proofErr w:type="gramStart"/>
      <w:r w:rsidRPr="003000CA">
        <w:rPr>
          <w:sz w:val="24"/>
          <w:szCs w:val="24"/>
        </w:rPr>
        <w:t>ДО</w:t>
      </w:r>
      <w:proofErr w:type="gramEnd"/>
      <w:r w:rsidRPr="003000CA">
        <w:rPr>
          <w:sz w:val="24"/>
          <w:szCs w:val="24"/>
        </w:rPr>
        <w:t xml:space="preserve"> «</w:t>
      </w:r>
      <w:proofErr w:type="gramStart"/>
      <w:r w:rsidRPr="003000CA">
        <w:rPr>
          <w:sz w:val="24"/>
          <w:szCs w:val="24"/>
        </w:rPr>
        <w:t>Центр</w:t>
      </w:r>
      <w:proofErr w:type="gramEnd"/>
      <w:r w:rsidRPr="003000CA">
        <w:rPr>
          <w:sz w:val="24"/>
          <w:szCs w:val="24"/>
        </w:rPr>
        <w:t xml:space="preserve"> творчества имени Г.А. </w:t>
      </w:r>
      <w:proofErr w:type="spellStart"/>
      <w:r w:rsidRPr="003000CA">
        <w:rPr>
          <w:sz w:val="24"/>
          <w:szCs w:val="24"/>
        </w:rPr>
        <w:t>Карчевского</w:t>
      </w:r>
      <w:proofErr w:type="spellEnd"/>
      <w:r w:rsidRPr="003000CA">
        <w:rPr>
          <w:sz w:val="24"/>
          <w:szCs w:val="24"/>
        </w:rPr>
        <w:t>», МУ ДО «Детский центр искусств», МУ ДО «Центр юных техников»;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24 общеобразовательные организации;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42 дошкольные образовательные организации;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частные организации: ООО «Мир без границ», ИП </w:t>
      </w:r>
      <w:proofErr w:type="spellStart"/>
      <w:r w:rsidRPr="003000CA">
        <w:rPr>
          <w:sz w:val="24"/>
          <w:szCs w:val="24"/>
        </w:rPr>
        <w:t>Круцкевич</w:t>
      </w:r>
      <w:proofErr w:type="spellEnd"/>
      <w:r w:rsidRPr="003000CA">
        <w:rPr>
          <w:sz w:val="24"/>
          <w:szCs w:val="24"/>
        </w:rPr>
        <w:t xml:space="preserve"> Е.В., ИП Иванова Е.Г., ИП Николаев Р.С.;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5 образовательных организаций: ГУ РК «Центр занятости населения города Ухты», ГОУ РК «Специальная (коррекционная) школа № 45», ГУ РК «Детский дом № 2 для детей-сирот и детей, оставшихся без попечения родителей», Детский технопарк «</w:t>
      </w:r>
      <w:proofErr w:type="spellStart"/>
      <w:r w:rsidRPr="003000CA">
        <w:rPr>
          <w:sz w:val="24"/>
          <w:szCs w:val="24"/>
        </w:rPr>
        <w:t>Кванториум</w:t>
      </w:r>
      <w:proofErr w:type="spellEnd"/>
      <w:r w:rsidRPr="003000CA">
        <w:rPr>
          <w:sz w:val="24"/>
          <w:szCs w:val="24"/>
        </w:rPr>
        <w:t>», Мобильный технопарк «</w:t>
      </w:r>
      <w:proofErr w:type="spellStart"/>
      <w:r w:rsidRPr="003000CA">
        <w:rPr>
          <w:sz w:val="24"/>
          <w:szCs w:val="24"/>
        </w:rPr>
        <w:t>Кванториум</w:t>
      </w:r>
      <w:proofErr w:type="spellEnd"/>
      <w:r w:rsidRPr="003000CA">
        <w:rPr>
          <w:sz w:val="24"/>
          <w:szCs w:val="24"/>
        </w:rPr>
        <w:t xml:space="preserve">».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Вышеперечисленные организации являются участниками системы персонифицированного финансирования дополнительного образования (далее - ПФДО), реализуемой с 01.09.2018. </w:t>
      </w:r>
    </w:p>
    <w:p w:rsidR="003000CA" w:rsidRPr="003000CA" w:rsidRDefault="003000CA" w:rsidP="003000CA">
      <w:pPr>
        <w:ind w:firstLine="567"/>
        <w:contextualSpacing/>
        <w:jc w:val="both"/>
        <w:rPr>
          <w:rFonts w:eastAsiaTheme="minorHAnsi"/>
          <w:strike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В рамках реализации федерального проекта «Успех каждого ребенка» национального проекта «Образование» в МУ ДО «Центр творчества имени Г.А.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Карчевского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» с 01.09.2022 создано 100 новых мест по 3 направленностям (естественно-научная, </w:t>
      </w:r>
      <w:proofErr w:type="gramStart"/>
      <w:r w:rsidRPr="003000CA">
        <w:rPr>
          <w:rFonts w:eastAsiaTheme="minorHAnsi"/>
          <w:sz w:val="24"/>
          <w:szCs w:val="24"/>
          <w:lang w:eastAsia="en-US"/>
        </w:rPr>
        <w:t>техническая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 xml:space="preserve">, социально-гуманитарная). </w:t>
      </w:r>
    </w:p>
    <w:p w:rsidR="003000CA" w:rsidRPr="003000CA" w:rsidRDefault="003000CA" w:rsidP="003000CA">
      <w:pPr>
        <w:spacing w:after="20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3000CA">
        <w:rPr>
          <w:rFonts w:eastAsiaTheme="minorHAnsi"/>
          <w:sz w:val="24"/>
          <w:szCs w:val="24"/>
          <w:lang w:eastAsia="en-US"/>
        </w:rPr>
        <w:t>Охват обучающихся конкурсами, различными мероприятиями федерального, республиканского и городского уровней составляет 48,0 %; доля обучающихся - победителей, призеров, номинантов конкурсов, различных мероприятий федерального, республиканского и городского уровней - 31,0 %. В рейтинге муниципальных образований по количеству победителей и призеров в региональном этапе Всероссийской олимпиады школьников муниципальный округ «Ухта» занимает второе место.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 xml:space="preserve"> Лидирующие позиции занимает муниципалитет по количеству участников школьного этапа Всероссийской олимпиады школьников. </w:t>
      </w:r>
    </w:p>
    <w:p w:rsidR="003000CA" w:rsidRPr="003000CA" w:rsidRDefault="003000CA" w:rsidP="003000CA">
      <w:pPr>
        <w:spacing w:after="20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Мероприятиями патриотической направленности охвачено  более 15 тыс. молодых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ухтинцев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, мероприятиями, направленными на формирование здорового образа жизни - более 18 тыс. молодых граждан. </w:t>
      </w:r>
    </w:p>
    <w:p w:rsidR="003000CA" w:rsidRPr="003000CA" w:rsidRDefault="003000CA" w:rsidP="003000CA">
      <w:pPr>
        <w:spacing w:after="20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В рамках реализации молодежной политики ежегодно проводится городской молодежный образовательный форум «11», республиканский военно-патриотический слет имени Героя России А.А. Алексеева. Местное отделение «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Юнармия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» входит в тройку лучших по итогам смотра-конкурса отделений республики. </w:t>
      </w:r>
    </w:p>
    <w:p w:rsidR="003000CA" w:rsidRPr="003000CA" w:rsidRDefault="003000CA" w:rsidP="003000CA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В 2022 году </w:t>
      </w:r>
      <w:hyperlink r:id="rId16" w:history="1">
        <w:r w:rsidRPr="003000CA">
          <w:rPr>
            <w:rFonts w:eastAsiaTheme="minorHAnsi"/>
            <w:sz w:val="24"/>
            <w:szCs w:val="24"/>
            <w:lang w:eastAsia="en-US"/>
          </w:rPr>
          <w:t>Ухта</w:t>
        </w:r>
      </w:hyperlink>
      <w:r w:rsidRPr="003000CA">
        <w:rPr>
          <w:rFonts w:eastAsiaTheme="minorHAnsi"/>
          <w:sz w:val="24"/>
          <w:szCs w:val="24"/>
          <w:lang w:eastAsia="en-US"/>
        </w:rPr>
        <w:t xml:space="preserve"> стала победителем республиканского конкурса «Лучшее муниципальное образование по организации летней трудовой подростковой кампании» в номинации «Город».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Основные тенденции: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на 01.01.2024 все дети в возрасте от 1 года до 3-х лет устроены в дошкольные образовательные организации;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охват детей дополнительным образованием от 5 до 18 лет увеличился с 73,1 % в 2021 году до 87,3 % в 2024 году;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создано 30 классов для 382 детей с ограниченными возможностями здоровья;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организовано профильное обучение школьников, проводятся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профориентационные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 мероприятия (сформированы медицинский, педагогические, кадетские, полицейский, казачий классы);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lastRenderedPageBreak/>
        <w:t>в рамках проекта «Народный бюджет» в период с 2021 по 2024 гг. реализовано 9 народных проектов и 1 проект «Народный бюджет в школе»;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ежегодно образовательные организации принимают активное участие в конкурсе социальных и культурных проектов ПАО «ЛУКОЙЛ» в Республике Коми и Ненецком автономном округе, с 2021 года более 10 проектов были отобраны конкурсной комиссией для реализации в образовательных организациях;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традиционно на территории муниципального округа «Ухта» проходят значимые мероприятия: республиканский фестиваль «Кадетская честь», который стал визитной карточкой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ухтинского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 кадетского движения; межрегиональная молодежная научно-практическая конференция - конкурс «Интеграция» на базе МАОУ «УТЛ им. Г.В.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Рассохина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; открытая республиканская олимпиада по химии при поддержке и в тесном сотрудничестве с ООО «ЛУКОЙЛ -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Ухтанефтепереработка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>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успешно реализуется проект «Школа инженерных кадров» совместно с ФГБОУ ВО «Ухтинский государственный технический университет» (далее - УГТУ) для обучающихся 10 классов образовательных организаций муниципального образования.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Основной проблемой в сфере образования является н</w:t>
      </w:r>
      <w:r w:rsidRPr="003000CA">
        <w:rPr>
          <w:sz w:val="24"/>
          <w:szCs w:val="24"/>
        </w:rPr>
        <w:t>едостаточная обеспеченность образовательных организаций педагогическими кадрами - н</w:t>
      </w:r>
      <w:r w:rsidRPr="003000CA">
        <w:rPr>
          <w:rFonts w:eastAsiaTheme="minorHAnsi"/>
          <w:sz w:val="24"/>
          <w:szCs w:val="24"/>
          <w:shd w:val="clear" w:color="auto" w:fill="FFFFFF"/>
          <w:lang w:eastAsia="en-US"/>
        </w:rPr>
        <w:t xml:space="preserve">а 01.01.2024 в муниципальных образовательных организациях 69 вакансий. </w:t>
      </w:r>
      <w:proofErr w:type="gramStart"/>
      <w:r w:rsidRPr="003000CA">
        <w:rPr>
          <w:rFonts w:eastAsiaTheme="minorHAnsi"/>
          <w:kern w:val="2"/>
          <w:sz w:val="24"/>
          <w:szCs w:val="24"/>
          <w:lang w:eastAsia="en-US"/>
        </w:rPr>
        <w:t>Пути решения проблемы:</w:t>
      </w:r>
      <w:r w:rsidRPr="003000CA">
        <w:rPr>
          <w:rFonts w:eastAsiaTheme="minorHAnsi"/>
          <w:sz w:val="24"/>
          <w:szCs w:val="24"/>
          <w:lang w:eastAsia="en-US"/>
        </w:rPr>
        <w:t xml:space="preserve"> на период работы в муниципальных образовательных организациях выделяются комнаты в общежитии (квартиры), решением Совета муниципального округа «Ухта» установлена гарантия для специалистов и педагогических работников муниципальных учреждений (образования, культуры, физической культуры и спорта) - процентная надбавка к заработной плате за работу в районах Крайнего Севера и приравненных к ним местностях выплачивается в полном размере, устанавливаются доплаты педагогическим работникам к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 xml:space="preserve"> должностному окладу (за работу в организациях, расположенных в сельских населенных пунктах, молодым специалистам, прибывшим в год окончания или в период первых трех лет после окончания организаций высшего образования и профессиональных образовательных учреждений).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В сфере профессионального образования на территории муниципального образования функционируют: УГТУ; Государственное профессиональное образовательное учреждение «Ухтинский медицинский колледж»; Профессиональное образовательное учреждение «Ухтинский педагогический колледж»; Ухтинский техникум железнодорожного транспорта - филиал федерального государственного бюджетного образовательного учреждения высшего образования «Петербургский государственный университет путей сообщения Императора Александра I».</w:t>
      </w:r>
    </w:p>
    <w:p w:rsidR="003000CA" w:rsidRPr="003000CA" w:rsidRDefault="003000CA" w:rsidP="003000C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Университет является членом президиума консорциума университетов «Недра», входит в состав Национального арктического научно-образовательного консорциума.</w:t>
      </w:r>
    </w:p>
    <w:p w:rsidR="003000CA" w:rsidRPr="003000CA" w:rsidRDefault="003000CA" w:rsidP="003000C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 xml:space="preserve">В университете проходят обучение около 6 тыс. человек. УГТУ реализует 86 образовательных программ </w:t>
      </w:r>
      <w:proofErr w:type="gramStart"/>
      <w:r w:rsidRPr="003000CA">
        <w:rPr>
          <w:rFonts w:eastAsia="Calibri"/>
          <w:sz w:val="24"/>
          <w:szCs w:val="24"/>
          <w:lang w:eastAsia="en-US"/>
        </w:rPr>
        <w:t>по</w:t>
      </w:r>
      <w:proofErr w:type="gramEnd"/>
      <w:r w:rsidRPr="003000CA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3000CA">
        <w:rPr>
          <w:rFonts w:eastAsia="Calibri"/>
          <w:sz w:val="24"/>
          <w:szCs w:val="24"/>
          <w:lang w:eastAsia="en-US"/>
        </w:rPr>
        <w:t>очной</w:t>
      </w:r>
      <w:proofErr w:type="gramEnd"/>
      <w:r w:rsidRPr="003000CA">
        <w:rPr>
          <w:rFonts w:eastAsia="Calibri"/>
          <w:sz w:val="24"/>
          <w:szCs w:val="24"/>
          <w:lang w:eastAsia="en-US"/>
        </w:rPr>
        <w:t xml:space="preserve">, очно-заочной и заочной формам обучения на уровнях среднего профессионального образования,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бакалавриата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специалитета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, магистратуры, аспирантуры. </w:t>
      </w:r>
    </w:p>
    <w:p w:rsidR="003000CA" w:rsidRPr="003000CA" w:rsidRDefault="003000CA" w:rsidP="003000C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3000CA">
        <w:rPr>
          <w:rFonts w:eastAsia="Calibri"/>
          <w:sz w:val="24"/>
          <w:szCs w:val="24"/>
          <w:lang w:eastAsia="en-US"/>
        </w:rPr>
        <w:t xml:space="preserve">Реализация университетом комплексных научно-технических проектов («Формирование научно-исследовательского и образовательного кластера в Воркуте по изучению поведения мерзлоты в условиях изменения климата, изучению адаптации человека в условиях Арктики, испытанию техники в экстремальных условиях», «Разработка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Ярегского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 нефтяного месторождения», «Глубокая переработка тяжелой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Ярегской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 нефти», «Производство современных строительных материалов», «Получение и использование водорода из углеводородного сырья на базе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Сосногорского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 газоперерабатывающего завода») содействует максимально эффективному решению</w:t>
      </w:r>
      <w:proofErr w:type="gramEnd"/>
      <w:r w:rsidRPr="003000CA">
        <w:rPr>
          <w:rFonts w:eastAsia="Calibri"/>
          <w:sz w:val="24"/>
          <w:szCs w:val="24"/>
          <w:lang w:eastAsia="en-US"/>
        </w:rPr>
        <w:t xml:space="preserve"> наиболее актуальных задач, стоящих перед предприятиями топливно-энергетического комплекса, и требующих современной научной аналитики и инженерно-технических решений.</w:t>
      </w:r>
    </w:p>
    <w:p w:rsidR="003000CA" w:rsidRPr="003000CA" w:rsidRDefault="003000CA" w:rsidP="003000CA">
      <w:pPr>
        <w:widowControl w:val="0"/>
        <w:autoSpaceDE w:val="0"/>
        <w:autoSpaceDN w:val="0"/>
        <w:ind w:left="900" w:hanging="333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left="900" w:hanging="333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Культура и национальная политика</w:t>
      </w:r>
    </w:p>
    <w:p w:rsidR="003000CA" w:rsidRPr="003000CA" w:rsidRDefault="003000CA" w:rsidP="003000CA">
      <w:pPr>
        <w:ind w:left="720" w:firstLine="567"/>
        <w:contextualSpacing/>
        <w:rPr>
          <w:b/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На территории муниципального округа «Ухта» функционируют 11 муниципальных учреждений культуры, в том числе: 6 учреждений культуры клубного типа (16 клубов и домов культуры); 2 учреждения дополнительного образования детей в сфере культуры; МУ </w:t>
      </w:r>
      <w:r w:rsidRPr="003000CA">
        <w:rPr>
          <w:rFonts w:eastAsiaTheme="minorHAnsi"/>
          <w:sz w:val="24"/>
          <w:szCs w:val="24"/>
          <w:lang w:eastAsia="en-US"/>
        </w:rPr>
        <w:lastRenderedPageBreak/>
        <w:t>«Центральная библиотека» (11 библиотек-филиалов); МУ «Музейный комплекс» (5 музеев-филиалов и 1 выставочный зал);  МБУ «Центр обслуживания объектов культуры».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По дополнительному образованию предоставляют услуги МУ ДО «ДМШ №1» (в г. Ухте, пгт Ярега, пгт </w:t>
      </w:r>
      <w:proofErr w:type="gramStart"/>
      <w:r w:rsidRPr="003000CA">
        <w:rPr>
          <w:rFonts w:eastAsiaTheme="minorHAnsi"/>
          <w:sz w:val="24"/>
          <w:szCs w:val="24"/>
          <w:lang w:eastAsia="en-US"/>
        </w:rPr>
        <w:t>Водный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 xml:space="preserve">) и МУ ДО «ДХШ» (в г. Ухте). Численность учащихся на 01.01.2025 составила 779 человек.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В муниципальных учреждениях культуры функционирует 314 клубных формирований самодеятельного художественного творчества (более 6 тыс. участников), в том числе 153 клубных формирований для детей до 14 лет (3148 участников).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Книжный фонд муниципальных библиотек в конце 2024 года составил 276625 экземпляров, книговыдача - 688683 экземпляра.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Число посещений МУ «Музейный комплекс» за 2024 год составило 13904 человека, в том числе индивидуальные и экскурсионные посещения музея, а также посещение культурно-образовательных мероприятий (лекции, мастер-классы, открытия выставок и т.д.).</w:t>
      </w:r>
      <w:r w:rsidRPr="003000C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000CA">
        <w:rPr>
          <w:rFonts w:eastAsiaTheme="minorHAnsi"/>
          <w:sz w:val="24"/>
          <w:szCs w:val="24"/>
          <w:lang w:eastAsia="en-US"/>
        </w:rPr>
        <w:t>Проведено 652 экскурсии для 6249 человек, 153 мероприятия, в которых приняли участие 3708 человек.</w:t>
      </w:r>
      <w:r w:rsidRPr="003000C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000CA">
        <w:rPr>
          <w:rFonts w:eastAsiaTheme="minorHAnsi"/>
          <w:sz w:val="24"/>
          <w:szCs w:val="24"/>
          <w:lang w:eastAsia="en-US"/>
        </w:rPr>
        <w:t>Количество единиц основного фонда Музея составило 64774 единицы хранения.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В 4 учреждениях культуры открыты отделения Российского движения детей и молодежи «Движение первых».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На территории муниципального округа «Ухта» осуществляют  деятельность 4 национальных центра (Центр коми культуры, Центр татарской и башкирской культур, Центр славянских культур, Центр немецкой культуры) и 20 национальных культурных автономий (обществ), общественных движений.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С участием национальных организаций реализовываются крупные общественно-значимые мероприятия (День Победы, День рождения города, День государственности Республики Коми и День российского флага, День России и другие).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Основная проблема в сфере культуры - недостаточная обеспеченность учреждений культуры квалифицированными кадрами, одним из способов решения которой является участие в программе «Земский работник культуры». </w:t>
      </w:r>
      <w:proofErr w:type="gramStart"/>
      <w:r w:rsidRPr="003000CA">
        <w:rPr>
          <w:rFonts w:eastAsiaTheme="minorHAnsi"/>
          <w:sz w:val="24"/>
          <w:szCs w:val="24"/>
          <w:lang w:eastAsia="en-US"/>
        </w:rPr>
        <w:t>Также решением Совета муниципального округа «Ухта» установлена гарантия для специалистов и педагогических работников муниципальных учреждений культуры - процентная надбавка к заработной плате за работу в районах Крайнего Севера и приравненных к ним местностях выплачивается в полном размере, устанавливаются доплаты педагогическим работникам к должностному окладу (за работу в организациях, расположенных в сельских населенных пунктах, молодым специалистам, прибывшим в год окончания или в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 xml:space="preserve"> период первых трех лет после окончания организаций высшего образования и профессиональных образовательных учреждений).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Туризм</w:t>
      </w:r>
    </w:p>
    <w:p w:rsidR="003000CA" w:rsidRPr="003000CA" w:rsidRDefault="003000CA" w:rsidP="003000CA">
      <w:pPr>
        <w:widowControl w:val="0"/>
        <w:autoSpaceDE w:val="0"/>
        <w:autoSpaceDN w:val="0"/>
        <w:ind w:left="720" w:firstLine="567"/>
        <w:jc w:val="both"/>
        <w:rPr>
          <w:rFonts w:eastAsiaTheme="minorEastAsia"/>
          <w:b/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Удобное географическое положение и развитая транспортная инфраструктура делают Ухту комфортной для туристов, точкой входа в республику.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Туристические группы и путешественники проезжают Ухту по пути к основным туристическим локациям Республики Коми. В Ухте функционируют: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комфортабельные средства размещения туристов (гостиницы, отели);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предприятия общепита;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достопримечательные места и памятники архитектуры (Музей пожарной охраны, Ухтинский историко-краеведческий музей, памятный знак «Первопроходцам Севера», Памятник Д. Бушуеву, здание бывшей следственной тюрьмы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Ухтижемлага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 - памятник архитектуры регионального значения, Дом связи (главпочтамт), Детская музыкальная школа №1 и другие).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Производят на гостей Ухты впечатление реконструированный Детский парк, Набережная газовиков, знаменитый профиль Владимира Ильича Ленина на горе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Ветлосян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Интересен муниципальный округ «Ухта» и своими природными объектами: «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Параськины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 озёра» - территория, представляющая собой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экопарк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, излюбленное место для комфортных прогулок и пикников с многочисленными инсталляциями, 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Седъюский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 каньон - скальный комплекс, уникальный геологический памятник природы.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lastRenderedPageBreak/>
        <w:t xml:space="preserve">На территории муниципального округа «Ухта» зарегистрированы три туроператора, один из них ООО «Другая планета» является основным туроператором, реализующим вертолётные туры на всей территории республики.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Основными проблемами в сферы туризма являются: отсутствие муниципального туристического продукта; сезонность развития туризма в связи с климатическими условиями и вследствие этого - неравномерность турпотока.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На территории муниципального образования возможно развитие событийного, познавательного, спортивного (активного), экологического туризма, туризма выходного дня. </w:t>
      </w:r>
    </w:p>
    <w:p w:rsidR="003000CA" w:rsidRPr="003000CA" w:rsidRDefault="003000CA" w:rsidP="003000CA">
      <w:pPr>
        <w:widowControl w:val="0"/>
        <w:autoSpaceDE w:val="0"/>
        <w:autoSpaceDN w:val="0"/>
        <w:ind w:left="900"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Физическая культура и спорт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Число спортивных сооружений на территории муниципального образования в 2024 году составило 315 единиц, в том числе: плоскостные спортивные сооружения (поля, площадки) - 139 единиц; спортивные залы - 70 единиц; плавательные бассейны (крытые) - 8 единиц; лыжные базы - 5 единиц; сооружения для стрелковых видов спорта (тиры) - 5 единиц; стадион с трибунами; крытый спортивный объект с искусственным льдом - 1 единица;</w:t>
      </w:r>
      <w:proofErr w:type="gramEnd"/>
      <w:r w:rsidRPr="003000CA">
        <w:rPr>
          <w:sz w:val="24"/>
          <w:szCs w:val="24"/>
        </w:rPr>
        <w:t xml:space="preserve"> другие сооружения, приспособленные для занятий физкультурой и спортом - 86 единиц.</w:t>
      </w:r>
    </w:p>
    <w:p w:rsidR="003000CA" w:rsidRPr="003000CA" w:rsidRDefault="003000CA" w:rsidP="003000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Физической культурой и спортом в 2024 году занималось 56,3 тыс. человек - это 65,0 % от общей численности населения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Осуществлялась спортивная подготовка 2015 спортсменов на соревнованиях различного масштаба: норматив первого спортивного разряда выполнили 131 человек, норматив спортивного разряда «Кандидат в мастера спорта» выполнили 46 человек, присвоено звание «Мастер спорта России» 18 человекам.</w:t>
      </w:r>
    </w:p>
    <w:p w:rsidR="003000CA" w:rsidRPr="003000CA" w:rsidRDefault="003000CA" w:rsidP="003000CA">
      <w:pPr>
        <w:shd w:val="clear" w:color="auto" w:fill="FFFFFF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В рамках реализации Плана мероприятий по поэтапному внедрению Всероссийского физкультурно-спортивного комплекса «Готов к труду и обороне» в 2024 году сборные команды муниципального образования приняли участие в 2 региональных этапах зимних и летних фестивалей Всероссийского физкультурно-спортивного комплекса «Готов к труду и обороне»,</w:t>
      </w:r>
      <w:r w:rsidRPr="003000CA">
        <w:rPr>
          <w:b/>
          <w:sz w:val="24"/>
          <w:szCs w:val="24"/>
        </w:rPr>
        <w:t xml:space="preserve"> </w:t>
      </w:r>
      <w:r w:rsidRPr="003000CA">
        <w:rPr>
          <w:sz w:val="24"/>
          <w:szCs w:val="24"/>
        </w:rPr>
        <w:t>республиканском фестивале Всероссийского физкультурно-спортивного комплекса «Готов к труду и обороне» среди обучающихся общеобразовательных организаций и региональном этапе Фестиваля Всероссийского</w:t>
      </w:r>
      <w:proofErr w:type="gramEnd"/>
      <w:r w:rsidRPr="003000CA">
        <w:rPr>
          <w:sz w:val="24"/>
          <w:szCs w:val="24"/>
        </w:rPr>
        <w:t xml:space="preserve"> физкультурно-спортивного комплекса «Готов к труду и обороне» «Игры ГТО - 2024».</w:t>
      </w:r>
    </w:p>
    <w:p w:rsidR="003000CA" w:rsidRPr="003000CA" w:rsidRDefault="003000CA" w:rsidP="003000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В выполнении нормативов испытаний (тестов) комплекса «Готов к труду и обороне» приняло участие 4564 человека, из них 4397 человек выполнили нормативы испытаний (тестов) на знаки отличия, в том числе 1159 человек - на Золотой знак.</w:t>
      </w:r>
    </w:p>
    <w:p w:rsidR="003000CA" w:rsidRPr="003000CA" w:rsidRDefault="003000CA" w:rsidP="003000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Основные тенденции: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культивирование приоритетных видов спорта: олимпийских зимних (лыжные гонки) и летних (баскетбол, волейбол, футбол, бокс, спортивная борьба, плавание);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рост уровня проведения спортивных мероприятий (организация новых спортивных мероприятий, расширение географии их проведения);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рост численности населения, систематически занимающегося физической культурой и спортом;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рост обеспеченности населения спортивными сооружениями.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contextualSpacing/>
        <w:jc w:val="both"/>
        <w:rPr>
          <w:spacing w:val="-2"/>
          <w:sz w:val="24"/>
          <w:szCs w:val="24"/>
        </w:rPr>
      </w:pPr>
      <w:r w:rsidRPr="003000CA">
        <w:rPr>
          <w:sz w:val="24"/>
          <w:szCs w:val="24"/>
        </w:rPr>
        <w:t xml:space="preserve">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Социальная поддержка населения, здравоохранение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bCs/>
          <w:sz w:val="24"/>
          <w:szCs w:val="24"/>
        </w:rPr>
      </w:pPr>
      <w:r w:rsidRPr="003000CA">
        <w:rPr>
          <w:bCs/>
          <w:sz w:val="24"/>
          <w:szCs w:val="24"/>
        </w:rPr>
        <w:t xml:space="preserve">На территории муниципального округа «Ухта» с целью предоставления государственных и социальных услуг  в сфере социальной защиты населения функционирует Государственное бюджетное учреждение Республики Коми «Комплексный центр социальной защиты населения города Ухты».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Учреждением предоставляются различные меры поддержки семьям с детьми, в том числе: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региональный семейный капитал при рождении первого и третьего ребенка;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пособие малоимущим кормящим матерям на приобретение продуктов питания;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ежемесячное пособие беременным женщинам на приобретение продуктов питания;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ежемесячная компенсация расходов по оплате жилищно-коммунальные услуги </w:t>
      </w:r>
      <w:r w:rsidRPr="003000CA">
        <w:rPr>
          <w:rFonts w:eastAsiaTheme="minorHAnsi"/>
          <w:sz w:val="24"/>
          <w:szCs w:val="24"/>
          <w:lang w:eastAsia="en-US"/>
        </w:rPr>
        <w:lastRenderedPageBreak/>
        <w:t>многодетным семьям, семьям, воспитывающим детей-инвалидов.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В 2023 году заключено 119 социальных контрактов. В рамках социального контракта: трудоустроились - 20 человек, открыли ИП или зарегистрировались в качестве </w:t>
      </w:r>
      <w:proofErr w:type="spellStart"/>
      <w:r w:rsidRPr="003000CA">
        <w:rPr>
          <w:rFonts w:eastAsiaTheme="minorHAnsi"/>
          <w:sz w:val="24"/>
          <w:szCs w:val="24"/>
          <w:lang w:eastAsia="en-US"/>
        </w:rPr>
        <w:t>самозанятого</w:t>
      </w:r>
      <w:proofErr w:type="spellEnd"/>
      <w:r w:rsidRPr="003000CA">
        <w:rPr>
          <w:rFonts w:eastAsiaTheme="minorHAnsi"/>
          <w:sz w:val="24"/>
          <w:szCs w:val="24"/>
          <w:lang w:eastAsia="en-US"/>
        </w:rPr>
        <w:t xml:space="preserve"> - 21 человек.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В соответствии с региональным законодательством осуществляются единовременные денежные выплаты участникам специальной военной операции, предоставляются меры поддержки и помощи  членам их семей. На сопровождении в Центре находятся участники специальной военной операции и члены их семей, за каждой семьей закреплен куратор.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Осуществляется работа клуба «Активное долголетие», которая направлена на поддержку и укрепление здоровья пожилых людей, увеличение активного периода жизни. </w:t>
      </w:r>
    </w:p>
    <w:p w:rsidR="003000CA" w:rsidRPr="003000CA" w:rsidRDefault="003000CA" w:rsidP="003000CA">
      <w:pPr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3000CA">
        <w:rPr>
          <w:bCs/>
          <w:sz w:val="24"/>
          <w:szCs w:val="24"/>
          <w:shd w:val="clear" w:color="auto" w:fill="FFFFFF"/>
        </w:rPr>
        <w:t>Основной проблемой в области социальной защиты населения является нед</w:t>
      </w:r>
      <w:r w:rsidRPr="003000CA">
        <w:rPr>
          <w:sz w:val="24"/>
          <w:szCs w:val="24"/>
        </w:rPr>
        <w:t xml:space="preserve">оступность инвалидов и маломобильных групп населения к объектам социальной инфраструктуры и жилого фонда. Обустройство пандусов в муниципальных учреждениях осуществляется в рамках муниципальных программ по соответствующим сферам деятельности. 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В рамках муниципальной программы «Социальная поддержка населения» предоставляются дополнительные меры социальной поддержки отдельным категориям граждан, создаются условия, способствующих интеграции инвалидов в общество, осуществляется поддержка социально ориентированных некоммерческих организаций.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 территории муниципального образования функционируют 9 государственных учреждений здравоохранения: 7 государственных бюджетных учреждений здравоохранения, ГАУЗ РК «Республиканский центр микрохирургии глаза», ГАУЗ РК «Ухтинская стоматологическая поликлиника. 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Особенность территории муниципального образования в функционировании государственных </w:t>
      </w:r>
      <w:proofErr w:type="gramStart"/>
      <w:r w:rsidRPr="003000CA">
        <w:rPr>
          <w:sz w:val="24"/>
          <w:szCs w:val="24"/>
        </w:rPr>
        <w:t>учреждений здравоохранения  различного уровня оказания медицинской помощи</w:t>
      </w:r>
      <w:proofErr w:type="gramEnd"/>
      <w:r w:rsidRPr="003000CA">
        <w:rPr>
          <w:sz w:val="24"/>
          <w:szCs w:val="24"/>
        </w:rPr>
        <w:t xml:space="preserve"> населению:</w:t>
      </w:r>
    </w:p>
    <w:p w:rsidR="003000CA" w:rsidRPr="003000CA" w:rsidRDefault="003000CA" w:rsidP="003000CA">
      <w:pPr>
        <w:widowControl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I уровень - 3 </w:t>
      </w:r>
      <w:proofErr w:type="gramStart"/>
      <w:r w:rsidRPr="003000CA">
        <w:rPr>
          <w:sz w:val="24"/>
          <w:szCs w:val="24"/>
        </w:rPr>
        <w:t>медицинских</w:t>
      </w:r>
      <w:proofErr w:type="gramEnd"/>
      <w:r w:rsidRPr="003000CA">
        <w:rPr>
          <w:sz w:val="24"/>
          <w:szCs w:val="24"/>
        </w:rPr>
        <w:t xml:space="preserve"> учреждения (первичная медико-санитарная помощь, в том числе первичная специализированная медико-санитарная помощь): ГАУЗ РК «Ухтинская стоматологическая поликлиника», ГБУЗ РК «Городская поликлиника № 2» пгт Ярега, ГБУЗ РК «Ухтинская физиотерапевтическая поликлиника».</w:t>
      </w:r>
    </w:p>
    <w:p w:rsidR="003000CA" w:rsidRPr="003000CA" w:rsidRDefault="003000CA" w:rsidP="003000CA">
      <w:pPr>
        <w:widowControl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II уровень - 3 </w:t>
      </w:r>
      <w:proofErr w:type="gramStart"/>
      <w:r w:rsidRPr="003000CA">
        <w:rPr>
          <w:sz w:val="24"/>
          <w:szCs w:val="24"/>
        </w:rPr>
        <w:t>медицинских</w:t>
      </w:r>
      <w:proofErr w:type="gramEnd"/>
      <w:r w:rsidRPr="003000CA">
        <w:rPr>
          <w:sz w:val="24"/>
          <w:szCs w:val="24"/>
        </w:rPr>
        <w:t xml:space="preserve"> учреждения (межмуниципальные, для оказания специализированной медицинской помощи, преимущественно в экстренной и неотложной форме): ГБУЗ РК «Ухтинская психиатрическая больница», ГБУЗ РК «Ухтинская детская больница», ГБУЗ РК «Ухтинская городская поликлиника», в состав которой входят 3 врачебные амбулатории (пгт Водный, пгт Боровой, пгт </w:t>
      </w:r>
      <w:proofErr w:type="spellStart"/>
      <w:r w:rsidRPr="003000CA">
        <w:rPr>
          <w:sz w:val="24"/>
          <w:szCs w:val="24"/>
        </w:rPr>
        <w:t>Шудаяг</w:t>
      </w:r>
      <w:proofErr w:type="spellEnd"/>
      <w:r w:rsidRPr="003000CA">
        <w:rPr>
          <w:sz w:val="24"/>
          <w:szCs w:val="24"/>
        </w:rPr>
        <w:t xml:space="preserve">) и 9 </w:t>
      </w:r>
      <w:proofErr w:type="spellStart"/>
      <w:r w:rsidRPr="003000CA">
        <w:rPr>
          <w:sz w:val="24"/>
          <w:szCs w:val="24"/>
        </w:rPr>
        <w:t>ФАПов</w:t>
      </w:r>
      <w:proofErr w:type="spellEnd"/>
      <w:r w:rsidRPr="003000CA">
        <w:rPr>
          <w:sz w:val="24"/>
          <w:szCs w:val="24"/>
        </w:rPr>
        <w:t xml:space="preserve"> (</w:t>
      </w:r>
      <w:proofErr w:type="spellStart"/>
      <w:r w:rsidRPr="003000CA">
        <w:rPr>
          <w:sz w:val="24"/>
          <w:szCs w:val="24"/>
        </w:rPr>
        <w:t>пст</w:t>
      </w:r>
      <w:proofErr w:type="spellEnd"/>
      <w:r w:rsidRPr="003000CA">
        <w:rPr>
          <w:sz w:val="24"/>
          <w:szCs w:val="24"/>
        </w:rPr>
        <w:t xml:space="preserve"> </w:t>
      </w:r>
      <w:proofErr w:type="spellStart"/>
      <w:r w:rsidRPr="003000CA">
        <w:rPr>
          <w:sz w:val="24"/>
          <w:szCs w:val="24"/>
        </w:rPr>
        <w:t>Седъю</w:t>
      </w:r>
      <w:proofErr w:type="spellEnd"/>
      <w:r w:rsidRPr="003000CA">
        <w:rPr>
          <w:sz w:val="24"/>
          <w:szCs w:val="24"/>
        </w:rPr>
        <w:t xml:space="preserve">, д. </w:t>
      </w:r>
      <w:proofErr w:type="spellStart"/>
      <w:r w:rsidRPr="003000CA">
        <w:rPr>
          <w:sz w:val="24"/>
          <w:szCs w:val="24"/>
        </w:rPr>
        <w:t>Лайково</w:t>
      </w:r>
      <w:proofErr w:type="spellEnd"/>
      <w:r w:rsidRPr="003000CA">
        <w:rPr>
          <w:sz w:val="24"/>
          <w:szCs w:val="24"/>
        </w:rPr>
        <w:t xml:space="preserve">, д. </w:t>
      </w:r>
      <w:proofErr w:type="spellStart"/>
      <w:r w:rsidRPr="003000CA">
        <w:rPr>
          <w:sz w:val="24"/>
          <w:szCs w:val="24"/>
        </w:rPr>
        <w:t>Изваиль</w:t>
      </w:r>
      <w:proofErr w:type="spellEnd"/>
      <w:r w:rsidRPr="003000CA">
        <w:rPr>
          <w:sz w:val="24"/>
          <w:szCs w:val="24"/>
        </w:rPr>
        <w:t xml:space="preserve">, </w:t>
      </w:r>
      <w:proofErr w:type="spellStart"/>
      <w:r w:rsidRPr="003000CA">
        <w:rPr>
          <w:sz w:val="24"/>
          <w:szCs w:val="24"/>
        </w:rPr>
        <w:t>пст</w:t>
      </w:r>
      <w:proofErr w:type="spellEnd"/>
      <w:r w:rsidRPr="003000CA">
        <w:rPr>
          <w:sz w:val="24"/>
          <w:szCs w:val="24"/>
        </w:rPr>
        <w:t xml:space="preserve"> </w:t>
      </w:r>
      <w:proofErr w:type="spellStart"/>
      <w:r w:rsidRPr="003000CA">
        <w:rPr>
          <w:sz w:val="24"/>
          <w:szCs w:val="24"/>
        </w:rPr>
        <w:t>Кэмдин</w:t>
      </w:r>
      <w:proofErr w:type="spellEnd"/>
      <w:r w:rsidRPr="003000CA">
        <w:rPr>
          <w:sz w:val="24"/>
          <w:szCs w:val="24"/>
        </w:rPr>
        <w:t xml:space="preserve">, д. </w:t>
      </w:r>
      <w:proofErr w:type="spellStart"/>
      <w:r w:rsidRPr="003000CA">
        <w:rPr>
          <w:sz w:val="24"/>
          <w:szCs w:val="24"/>
        </w:rPr>
        <w:t>Поромес</w:t>
      </w:r>
      <w:proofErr w:type="spellEnd"/>
      <w:r w:rsidRPr="003000CA">
        <w:rPr>
          <w:sz w:val="24"/>
          <w:szCs w:val="24"/>
        </w:rPr>
        <w:t xml:space="preserve">, с. </w:t>
      </w:r>
      <w:proofErr w:type="spellStart"/>
      <w:r w:rsidRPr="003000CA">
        <w:rPr>
          <w:sz w:val="24"/>
          <w:szCs w:val="24"/>
        </w:rPr>
        <w:t>Кедвавом</w:t>
      </w:r>
      <w:proofErr w:type="spellEnd"/>
      <w:r w:rsidRPr="003000CA">
        <w:rPr>
          <w:sz w:val="24"/>
          <w:szCs w:val="24"/>
        </w:rPr>
        <w:t xml:space="preserve">, д. </w:t>
      </w:r>
      <w:proofErr w:type="spellStart"/>
      <w:r w:rsidRPr="003000CA">
        <w:rPr>
          <w:sz w:val="24"/>
          <w:szCs w:val="24"/>
        </w:rPr>
        <w:t>Гажаяг</w:t>
      </w:r>
      <w:proofErr w:type="spellEnd"/>
      <w:r w:rsidRPr="003000CA">
        <w:rPr>
          <w:sz w:val="24"/>
          <w:szCs w:val="24"/>
        </w:rPr>
        <w:t xml:space="preserve">, </w:t>
      </w:r>
      <w:proofErr w:type="spellStart"/>
      <w:r w:rsidRPr="003000CA">
        <w:rPr>
          <w:sz w:val="24"/>
          <w:szCs w:val="24"/>
        </w:rPr>
        <w:t>пст</w:t>
      </w:r>
      <w:proofErr w:type="spellEnd"/>
      <w:r w:rsidRPr="003000CA">
        <w:rPr>
          <w:sz w:val="24"/>
          <w:szCs w:val="24"/>
        </w:rPr>
        <w:t xml:space="preserve"> Веселый Кут, д. </w:t>
      </w:r>
      <w:proofErr w:type="spellStart"/>
      <w:r w:rsidRPr="003000CA">
        <w:rPr>
          <w:sz w:val="24"/>
          <w:szCs w:val="24"/>
        </w:rPr>
        <w:t>Гэрдъель</w:t>
      </w:r>
      <w:proofErr w:type="spellEnd"/>
      <w:r w:rsidRPr="003000CA">
        <w:rPr>
          <w:sz w:val="24"/>
          <w:szCs w:val="24"/>
        </w:rPr>
        <w:t xml:space="preserve">). </w:t>
      </w:r>
    </w:p>
    <w:p w:rsidR="003000CA" w:rsidRPr="003000CA" w:rsidRDefault="003000CA" w:rsidP="003000CA">
      <w:pPr>
        <w:widowControl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III уровень - 3 </w:t>
      </w:r>
      <w:proofErr w:type="gramStart"/>
      <w:r w:rsidRPr="003000CA">
        <w:rPr>
          <w:sz w:val="24"/>
          <w:szCs w:val="24"/>
        </w:rPr>
        <w:t>медицинских</w:t>
      </w:r>
      <w:proofErr w:type="gramEnd"/>
      <w:r w:rsidRPr="003000CA">
        <w:rPr>
          <w:sz w:val="24"/>
          <w:szCs w:val="24"/>
        </w:rPr>
        <w:t xml:space="preserve"> учреждения (региональные, для оказания специализированной, в том числе высокотехнологичной медицинской помощи): ГБУЗ РК «Ухтинский межтерриториальный родильный дом», ГБУЗ РК «Ухтинская городская больница № 1», ГАУЗ «Республиканский центр микрохирургии глаза». 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color w:val="000000"/>
          <w:sz w:val="24"/>
          <w:szCs w:val="24"/>
        </w:rPr>
        <w:t xml:space="preserve">Кроме того, на территории муниципального образования функционируют: </w:t>
      </w:r>
      <w:r w:rsidRPr="003000CA">
        <w:rPr>
          <w:sz w:val="24"/>
          <w:szCs w:val="24"/>
        </w:rPr>
        <w:t>Филиал «Бюро судебно-медицинской экспертизы»; Филиал ГУ «Республиканская станция переливания крови» г. Ухта; Филиал ГБУ РК «</w:t>
      </w:r>
      <w:proofErr w:type="spellStart"/>
      <w:r w:rsidRPr="003000CA">
        <w:rPr>
          <w:sz w:val="24"/>
          <w:szCs w:val="24"/>
        </w:rPr>
        <w:t>Медавтотранспорт</w:t>
      </w:r>
      <w:proofErr w:type="spellEnd"/>
      <w:r w:rsidRPr="003000CA">
        <w:rPr>
          <w:sz w:val="24"/>
          <w:szCs w:val="24"/>
        </w:rPr>
        <w:t xml:space="preserve">»; Филиал ГБУ РК «Медтехника»; Ухтинский филиал ГБУ РК «Территориальный центр медицины катастроф Республики Коми». 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Служба медицинской профилактики для взрослого населения на территории муниципального округа «Ухта» представлена 1 отделением медицинской профилактики и 1 центром здоровья на базе ГБУЗ РК «Ухтинская городская поликлиника».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Служба медицинской профилактики для детского населения представлена 1 отделением медицинской профилактики и 1 центром здоровья на базе ГБУЗ РК «Ухтинская детская больница».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 территории муниципального образования реализуется муниципальная программа «Укрепление общественного здоровья среди населения муниципального округа «Ухта». Целью программы является: улучшение здоровья населения, качества жизни, формирование культуры общественного здоровья, ответственного отношения к здоровью. 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rFonts w:eastAsia="Calibri"/>
          <w:sz w:val="24"/>
          <w:szCs w:val="24"/>
          <w:lang w:eastAsia="en-US"/>
        </w:rPr>
        <w:lastRenderedPageBreak/>
        <w:t xml:space="preserve">Основной проблемой в сфере здравоохранения, как и в целом по республике, является </w:t>
      </w:r>
      <w:r w:rsidRPr="003000CA">
        <w:rPr>
          <w:sz w:val="24"/>
          <w:szCs w:val="24"/>
        </w:rPr>
        <w:t xml:space="preserve">дефицит медицинских кадров. </w:t>
      </w:r>
    </w:p>
    <w:p w:rsidR="003000CA" w:rsidRPr="003000CA" w:rsidRDefault="003000CA" w:rsidP="003000CA">
      <w:pPr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Основные тенденции в сфере здравоохранения:</w:t>
      </w:r>
    </w:p>
    <w:p w:rsidR="003000CA" w:rsidRPr="003000CA" w:rsidRDefault="003000CA" w:rsidP="003000CA">
      <w:pPr>
        <w:widowControl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снижение числа умерших на 1000 человек населения с 15,3 в 2021 году до 13,8 в 2024 году;</w:t>
      </w:r>
    </w:p>
    <w:p w:rsidR="003000CA" w:rsidRPr="003000CA" w:rsidRDefault="003000CA" w:rsidP="003000CA">
      <w:pPr>
        <w:widowControl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в муниципальном образовании более низкий уровень смертности, чем в некоторых городах и районах республики, муниципальный округ «Ухта» входит в 5 муниципальных образований с уровнем смертности ниже республиканского (по республике в 2024 г. - 14,0 человек на 1000 человек населения).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Экономика 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3000CA">
        <w:rPr>
          <w:rFonts w:eastAsiaTheme="minorHAnsi"/>
          <w:sz w:val="24"/>
          <w:szCs w:val="24"/>
          <w:lang w:eastAsia="en-US"/>
        </w:rPr>
        <w:t>На территории муниципального округа «Ухта» за 2024 год по сравнению с 2023 годом наблюдается рост объема инвестиций в основной капитал (без субъектов малого предпринимательства и объёма инвестиций, не наблюдаемых прямыми статистическими методами), ч</w:t>
      </w:r>
      <w:r w:rsidRPr="003000CA">
        <w:rPr>
          <w:rFonts w:eastAsiaTheme="minorEastAsia"/>
          <w:sz w:val="24"/>
          <w:szCs w:val="24"/>
        </w:rPr>
        <w:t>исл</w:t>
      </w:r>
      <w:r w:rsidRPr="003000CA">
        <w:rPr>
          <w:rFonts w:eastAsiaTheme="minorHAnsi"/>
          <w:sz w:val="24"/>
          <w:szCs w:val="24"/>
          <w:lang w:eastAsia="en-US"/>
        </w:rPr>
        <w:t>а</w:t>
      </w:r>
      <w:r w:rsidRPr="003000CA">
        <w:rPr>
          <w:rFonts w:eastAsiaTheme="minorEastAsia"/>
          <w:sz w:val="24"/>
          <w:szCs w:val="24"/>
        </w:rPr>
        <w:t xml:space="preserve"> субъектов малого</w:t>
      </w:r>
      <w:r w:rsidRPr="003000CA">
        <w:rPr>
          <w:rFonts w:eastAsiaTheme="minorHAnsi"/>
          <w:sz w:val="24"/>
          <w:szCs w:val="24"/>
          <w:lang w:eastAsia="en-US"/>
        </w:rPr>
        <w:t xml:space="preserve"> </w:t>
      </w:r>
      <w:r w:rsidRPr="003000CA">
        <w:rPr>
          <w:rFonts w:eastAsiaTheme="minorEastAsia"/>
          <w:sz w:val="24"/>
          <w:szCs w:val="24"/>
        </w:rPr>
        <w:t>и средне</w:t>
      </w:r>
      <w:r w:rsidRPr="003000CA">
        <w:rPr>
          <w:rFonts w:eastAsiaTheme="minorHAnsi"/>
          <w:sz w:val="24"/>
          <w:szCs w:val="24"/>
          <w:lang w:eastAsia="en-US"/>
        </w:rPr>
        <w:t>го</w:t>
      </w:r>
      <w:r w:rsidRPr="003000CA">
        <w:rPr>
          <w:rFonts w:eastAsiaTheme="minorEastAsia"/>
          <w:sz w:val="24"/>
          <w:szCs w:val="24"/>
        </w:rPr>
        <w:t xml:space="preserve"> предпринимательств</w:t>
      </w:r>
      <w:r w:rsidRPr="003000CA">
        <w:rPr>
          <w:rFonts w:eastAsiaTheme="minorHAnsi"/>
          <w:sz w:val="24"/>
          <w:szCs w:val="24"/>
          <w:lang w:eastAsia="en-US"/>
        </w:rPr>
        <w:t xml:space="preserve">а, </w:t>
      </w:r>
      <w:proofErr w:type="spellStart"/>
      <w:r w:rsidRPr="003000CA">
        <w:rPr>
          <w:rFonts w:eastAsiaTheme="minorEastAsia"/>
          <w:sz w:val="24"/>
          <w:szCs w:val="24"/>
        </w:rPr>
        <w:t>самозанятых</w:t>
      </w:r>
      <w:proofErr w:type="spellEnd"/>
      <w:r w:rsidRPr="003000CA">
        <w:rPr>
          <w:rFonts w:eastAsiaTheme="minorEastAsia"/>
          <w:sz w:val="24"/>
          <w:szCs w:val="24"/>
        </w:rPr>
        <w:t xml:space="preserve"> граждан</w:t>
      </w:r>
      <w:r w:rsidRPr="003000CA">
        <w:rPr>
          <w:rFonts w:eastAsiaTheme="minorHAnsi"/>
          <w:sz w:val="24"/>
          <w:szCs w:val="24"/>
          <w:lang w:eastAsia="en-US"/>
        </w:rPr>
        <w:t xml:space="preserve">, среднемесячной заработной платы (без субъектов малого предпринимательства), снижение уровня зарегистрированной безработицы. 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Промышленное производство</w:t>
      </w:r>
    </w:p>
    <w:p w:rsidR="003000CA" w:rsidRPr="003000CA" w:rsidRDefault="003000CA" w:rsidP="003000CA">
      <w:pPr>
        <w:tabs>
          <w:tab w:val="left" w:pos="426"/>
        </w:tabs>
        <w:ind w:firstLine="567"/>
        <w:jc w:val="both"/>
        <w:rPr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Муниципальный округ «Ухта» относится к промышленным районам республики. Ключевыми отраслями экономики являются: добыча полезных ископаемых, обрабатывающие производства.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Объем отгруженных товаров собственного производства, выполненных работ и услуг собственными силами, за 2024 год составил 407 195,3 </w:t>
      </w:r>
      <w:proofErr w:type="gramStart"/>
      <w:r w:rsidRPr="003000CA">
        <w:rPr>
          <w:rFonts w:eastAsiaTheme="minorHAnsi"/>
          <w:sz w:val="24"/>
          <w:szCs w:val="24"/>
          <w:lang w:eastAsia="en-US"/>
        </w:rPr>
        <w:t>млн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 xml:space="preserve"> руб. (103,7% к 2023 году).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По видам экономической деятельности наблюдалось увеличение объема (в фактически действовавших ценах) по отношению к 2023 году: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по добыче полезных ископаемых - на 25,7 %;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по обрабатывающему производству - на 8,0 %;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по обеспечению электроэнергией, газом и паром - на 0,7 %.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Инвестиции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  <w:lang w:eastAsia="en-US"/>
        </w:rPr>
      </w:pPr>
      <w:r w:rsidRPr="003000CA">
        <w:rPr>
          <w:spacing w:val="-2"/>
          <w:sz w:val="24"/>
          <w:szCs w:val="24"/>
          <w:lang w:eastAsia="en-US"/>
        </w:rPr>
        <w:t xml:space="preserve">Объем инвестиций в экономику муниципального округа «Ухта» (без субъектов малого предпринимательства) за 2024 год составил 29 530,2 </w:t>
      </w:r>
      <w:proofErr w:type="gramStart"/>
      <w:r w:rsidRPr="003000CA">
        <w:rPr>
          <w:spacing w:val="-2"/>
          <w:sz w:val="24"/>
          <w:szCs w:val="24"/>
          <w:lang w:eastAsia="en-US"/>
        </w:rPr>
        <w:t>млн</w:t>
      </w:r>
      <w:proofErr w:type="gramEnd"/>
      <w:r w:rsidRPr="003000CA">
        <w:rPr>
          <w:spacing w:val="-2"/>
          <w:sz w:val="24"/>
          <w:szCs w:val="24"/>
          <w:lang w:eastAsia="en-US"/>
        </w:rPr>
        <w:t xml:space="preserve"> руб. (в том числе за счет собственных средств - 16 968,2 млн руб., привлеченных средств - 12 562,0 млн руб.), что на 19,0 % больше предыдущего года.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По объему инвестиций в основной капитал за 2024 год муниципальный округ «Ухта» занимает третье место среди муниципальных образований республики.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С целью предоставления информационной, консультационной помощи инвесторам в реализации инвестиционных проектов и развитии новых производств внедрен муниципальный инвестиционный стандарт муниципального округа «Ухта», в том числе: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размещен инвестиционный профиль (паспорт) муниципального округа «Ухта» на официальном сайте администрации муниципального округа «Ухта»;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сформирована инвестиционная команда для оказания консультационной помощи инвесторам при реализации инвестиционных проектов;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назначен инвестиционный уполномоченный в муниципальном образовании;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утвержден регламент сопровождения инвестиционных проектов (</w:t>
      </w:r>
      <w:proofErr w:type="gramStart"/>
      <w:r w:rsidRPr="003000CA">
        <w:rPr>
          <w:rFonts w:eastAsiaTheme="minorHAnsi"/>
          <w:sz w:val="24"/>
          <w:szCs w:val="24"/>
          <w:lang w:eastAsia="en-US"/>
        </w:rPr>
        <w:t>бизнес-идей</w:t>
      </w:r>
      <w:proofErr w:type="gramEnd"/>
      <w:r w:rsidRPr="003000CA">
        <w:rPr>
          <w:rFonts w:eastAsiaTheme="minorHAnsi"/>
          <w:sz w:val="24"/>
          <w:szCs w:val="24"/>
          <w:lang w:eastAsia="en-US"/>
        </w:rPr>
        <w:t>), реализуемых и (или) планируемых к реализации на территории муниципального округа «Ухта», разъясняющий схему взаимодействия инвестора с администрацией муниципального округа «Ухта»;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3000CA">
        <w:rPr>
          <w:rFonts w:eastAsiaTheme="minorHAnsi"/>
          <w:sz w:val="24"/>
          <w:szCs w:val="24"/>
          <w:lang w:eastAsia="en-US"/>
        </w:rPr>
        <w:t xml:space="preserve">заключено Соглашение о сотрудничестве между Министерством экономического развития, промышленности и транспорта Республики Коми, Автономной некоммерческой организацией Республики Коми «Центр развития предпринимательства» и администрацией муниципального округа «Ухта» в рамках организации системной работы по сопровождению </w:t>
      </w:r>
      <w:r w:rsidRPr="003000CA">
        <w:rPr>
          <w:rFonts w:eastAsiaTheme="minorHAnsi"/>
          <w:sz w:val="24"/>
          <w:szCs w:val="24"/>
          <w:lang w:eastAsia="en-US"/>
        </w:rPr>
        <w:lastRenderedPageBreak/>
        <w:t>инвестиционных проектов муниципального округа «Ухта» с учетом внедрения в Республике Коми системы поддержки новых инвестиционных проектов («Региональный инвестиционный стандарт»).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Вопросы содействия в реализации инвестиционных проектов на территории муниципального образования рассматриваются, в том числе на заседаниях Координационного совета по малому и среднему предпринимательству при главе муниципального округа «Ухта» Республики Коми - руководителе администрации.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Информация об инвестиционной деятельности на территории муниципального образования размещена на официальном сайте администрации муниципального округа «Ухта» https://mouhta.ru/directions/business/investments/, которая актуализируется на постоянной основе.</w:t>
      </w:r>
    </w:p>
    <w:p w:rsidR="003000CA" w:rsidRPr="003000CA" w:rsidRDefault="003000CA" w:rsidP="003000CA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Для устойчивого социально-экономического развития муниципального образования, создания достойных условий для жизни и труда жителей муниципального образования осуществляется совместная деятельность с организациями на условиях социального партнерства.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В муниципальном округе «Ухта» утверждены: Генеральный план, Правила землепользования и застройки, местные нормативы градостроительного проектирования.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Объем работ, выполненных по договорам строительного подряда, за 2024 год составил 10 019,6 </w:t>
      </w:r>
      <w:proofErr w:type="gramStart"/>
      <w:r w:rsidRPr="003000CA">
        <w:rPr>
          <w:spacing w:val="-2"/>
          <w:sz w:val="24"/>
          <w:szCs w:val="24"/>
        </w:rPr>
        <w:t>млн</w:t>
      </w:r>
      <w:proofErr w:type="gramEnd"/>
      <w:r w:rsidRPr="003000CA">
        <w:rPr>
          <w:spacing w:val="-2"/>
          <w:sz w:val="24"/>
          <w:szCs w:val="24"/>
        </w:rPr>
        <w:t xml:space="preserve"> руб. или 197,4 % к 2023 году (за 2023 год - 5 077,0 млн руб.).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В 2024 году в муниципальном образовании введено в действие жилых домов, построенных населением, 9276 кв. м общей площади, выдано 15 разрешений на строительство объектов и 11 разрешений на ввод объектов в эксплуатацию.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Рынок труда и занятость населения       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Численность населения в трудоспособном возрасте имеет тенденцию к снижению и на 01.01.2023 составила 55,3 тыс. человек (на 01.01.2022 - 57,4 тыс. человек) или 59,4 % от общей численности населения.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Из числа прибывших в 2023 году (2,1  тыс. человек)  в трудоспособном возрасте 1,4 тыс. человек или 66,7 %, моложе трудоспособного (0-15 лет) - 0,4 тыс. человек или 19,0 %.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Из числа выбывших (2,7  тыс. человек) в трудоспособном возрасте 2,1 тыс. человек или 77,8 %, моложе трудоспособного (0-15 лет) - 0,3 тыс. человек или 11,1 %. 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Количество организаций - юридических лиц на 01.01.2025 составило 1463 единицы, что меньше по отношению к 01.01.2024 на 2,9 % (на 01.01.2024 - 1507 единиц).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proofErr w:type="gramStart"/>
      <w:r w:rsidRPr="003000CA">
        <w:rPr>
          <w:spacing w:val="-2"/>
          <w:sz w:val="24"/>
          <w:szCs w:val="24"/>
        </w:rPr>
        <w:t>Среднесписочная численность работников организаций в 2024 году составила 31,73 тыс. человек (в 2023 году - 32,13 тыс. человек, в 2022 году -  32,83 тыс. человек, в 2021 году - 33,5 тыс. человек), в том числе по видам экономической деятельности: в сфере торговли оптовой и розничной занято 1,70 тыс. человек, в сфере образования - 4,63 тыс. человек, в сфере здравоохранения и социальных услуг - 3,53 тыс</w:t>
      </w:r>
      <w:proofErr w:type="gramEnd"/>
      <w:r w:rsidRPr="003000CA">
        <w:rPr>
          <w:spacing w:val="-2"/>
          <w:sz w:val="24"/>
          <w:szCs w:val="24"/>
        </w:rPr>
        <w:t xml:space="preserve">. </w:t>
      </w:r>
      <w:proofErr w:type="gramStart"/>
      <w:r w:rsidRPr="003000CA">
        <w:rPr>
          <w:spacing w:val="-2"/>
          <w:sz w:val="24"/>
          <w:szCs w:val="24"/>
        </w:rPr>
        <w:t>человек, в сфере добычи полезных ископаемых - 2,65 тыс. человек, в сфере обрабатывающего производства - 2,28 тыс. человек, прочие  - 16,94 тыс. человек.</w:t>
      </w:r>
      <w:proofErr w:type="gramEnd"/>
    </w:p>
    <w:p w:rsidR="003000CA" w:rsidRPr="003000CA" w:rsidRDefault="003000CA" w:rsidP="003000CA">
      <w:pPr>
        <w:ind w:firstLine="567"/>
        <w:jc w:val="both"/>
        <w:rPr>
          <w:color w:val="FF0000"/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Среднемесячная номинальная начисленная заработная плата работников крупных и средних организаций и некоммерческих организаций (без субъектов малого предпринимательства) за 2024 год составила 107 558 руб. (113,5 % к средней заработной плате по республике) и возросла по сравнению с 2023 годом на 13,4 %. 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На 01.01.2025 численность зарегистрированных безработных составила 99 человек (на 01.01.2024 - 188 человек), уровень безработицы от экономически активного населения - 0,20 %, тогда как на 01.01.2024 - 0,31 % 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Количество вакантных рабочих мест (должностей) на 01.01.2025 составило 1015 единиц (на 01.01.2024 -1356 единиц, на 01.01.2023 - 1449 единиц).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В связи со снижением численности экономически активного населения на территории муниципального округа «Ухта», что в основном  связано с миграцией населения, организации испытывают нехватку квалифицированных кадров. </w:t>
      </w:r>
      <w:proofErr w:type="gramStart"/>
      <w:r w:rsidRPr="003000CA">
        <w:rPr>
          <w:spacing w:val="-2"/>
          <w:sz w:val="24"/>
          <w:szCs w:val="24"/>
        </w:rPr>
        <w:t xml:space="preserve">С целью решения  проблемы осуществляется наставничество в организациях города, непрерывное обучение работников, крупные организации абитуриентам предлагают целевое обучение, студентам - практику, администрацией муниципального округа «Ухта» оказывается содействие в сборе исходных </w:t>
      </w:r>
      <w:r w:rsidRPr="003000CA">
        <w:rPr>
          <w:spacing w:val="-2"/>
          <w:sz w:val="24"/>
          <w:szCs w:val="24"/>
        </w:rPr>
        <w:lastRenderedPageBreak/>
        <w:t>данных от организаций города для формирования прогноза потребности отраслей экономики  Республики Коми в квалифицированных кадрах, формируется прогноз баланса трудовых ресурсов муниципального округа «Ухта» во взаимодействии с организациями.</w:t>
      </w:r>
      <w:proofErr w:type="gramEnd"/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С целью содействия легализации трудовых отношений на предприятиях и в организациях всех форм собственности проводятся заседания рабочей группы муниципального округа «Ухта» межведомственной комиссии Республики Коми по противодействию нелегальной занятости.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Предпринимательство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 xml:space="preserve">Малое и среднее предпринимательство в 2024 году представляли 3726  хозяйствующих субъектов, из них: 2712 индивидуальных предпринимателей (в 2023 году  - 2612)  (по данным </w:t>
      </w:r>
      <w:proofErr w:type="spellStart"/>
      <w:r w:rsidRPr="003000CA">
        <w:rPr>
          <w:sz w:val="24"/>
          <w:szCs w:val="24"/>
        </w:rPr>
        <w:t>Комистат</w:t>
      </w:r>
      <w:proofErr w:type="spellEnd"/>
      <w:r w:rsidRPr="003000CA">
        <w:rPr>
          <w:sz w:val="24"/>
          <w:szCs w:val="24"/>
        </w:rPr>
        <w:t xml:space="preserve">), 931 </w:t>
      </w:r>
      <w:proofErr w:type="spellStart"/>
      <w:r w:rsidRPr="003000CA">
        <w:rPr>
          <w:sz w:val="24"/>
          <w:szCs w:val="24"/>
        </w:rPr>
        <w:t>микропредприятие</w:t>
      </w:r>
      <w:proofErr w:type="spellEnd"/>
      <w:r w:rsidRPr="003000CA">
        <w:rPr>
          <w:sz w:val="24"/>
          <w:szCs w:val="24"/>
        </w:rPr>
        <w:t xml:space="preserve">, 70 малых предприятий, 13 средних предприятий (согласно данным информационного ресурса Единого реестра субъектов малого и среднего предпринимательства </w:t>
      </w:r>
      <w:hyperlink r:id="rId17" w:history="1">
        <w:r w:rsidRPr="003000CA">
          <w:rPr>
            <w:color w:val="0000FF" w:themeColor="hyperlink"/>
            <w:sz w:val="24"/>
            <w:szCs w:val="24"/>
            <w:u w:val="single"/>
          </w:rPr>
          <w:t>https://rmsp.nalog.ru</w:t>
        </w:r>
      </w:hyperlink>
      <w:r w:rsidRPr="003000CA">
        <w:rPr>
          <w:sz w:val="24"/>
          <w:szCs w:val="24"/>
        </w:rPr>
        <w:t xml:space="preserve"> Федеральной налоговой службы Российской Федерации).</w:t>
      </w:r>
      <w:proofErr w:type="gramEnd"/>
      <w:r w:rsidRPr="003000CA">
        <w:rPr>
          <w:sz w:val="24"/>
          <w:szCs w:val="24"/>
        </w:rPr>
        <w:t xml:space="preserve"> 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- </w:t>
      </w:r>
      <w:proofErr w:type="spellStart"/>
      <w:r w:rsidRPr="003000CA">
        <w:rPr>
          <w:sz w:val="24"/>
          <w:szCs w:val="24"/>
        </w:rPr>
        <w:t>самозанятых</w:t>
      </w:r>
      <w:proofErr w:type="spellEnd"/>
      <w:r w:rsidRPr="003000CA">
        <w:rPr>
          <w:sz w:val="24"/>
          <w:szCs w:val="24"/>
        </w:rPr>
        <w:t xml:space="preserve"> граждан составило 6571 человек (в 2023 году - 4987 человек).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Удельный вес субъектов малого и среднего предпринимательства составил 73,0 % от общего количества хозяйствующих субъектов, осуществляющих свою деятельность на территории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Индивидуальные предприниматели осуществляют деятельность и развивают бизнес в основном в отраслях, не требующих значительных капитальных вложений (оптовая и розничная торговля, предоставление услуг населению, деятельность гостиниц и предприятий общественного питания).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В сфере агропромышленного комплекса  производят собственную продукцию 16 хозяйствующих субъектов: 2 сельскохозяйственные организации, 12 организаций пищевой и перерабатывающей промышленности, 2 крестьянских (фермерских) хозяйства.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Основной объем производимой животноводческой продукции обеспечивают племенные хозяйства: ООО Племхоз «Изваильский-97» </w:t>
      </w:r>
      <w:proofErr w:type="gramStart"/>
      <w:r w:rsidRPr="003000CA">
        <w:rPr>
          <w:sz w:val="24"/>
          <w:szCs w:val="24"/>
        </w:rPr>
        <w:t>и ООО</w:t>
      </w:r>
      <w:proofErr w:type="gramEnd"/>
      <w:r w:rsidRPr="003000CA">
        <w:rPr>
          <w:sz w:val="24"/>
          <w:szCs w:val="24"/>
        </w:rPr>
        <w:t xml:space="preserve"> Племхоз «Ухта-97». Хозяйства являются основными поставщиками племенного молодняка крупного рогатого скота, характеризующегося хорошими селекционными качествами, в товарные хозяйства республики и другие регионы России.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С целью создания максимальных удо</w:t>
      </w:r>
      <w:proofErr w:type="gramStart"/>
      <w:r w:rsidRPr="003000CA">
        <w:rPr>
          <w:sz w:val="24"/>
          <w:szCs w:val="24"/>
        </w:rPr>
        <w:t>бств дл</w:t>
      </w:r>
      <w:proofErr w:type="gramEnd"/>
      <w:r w:rsidRPr="003000CA">
        <w:rPr>
          <w:sz w:val="24"/>
          <w:szCs w:val="24"/>
        </w:rPr>
        <w:t>я потребителей, содействия продвижению продукции товаропроизводителей, развития конкуренции и стимулирования развития малого и среднего предпринимательства проводятся ярмарки выходного дня, в которых принимают участие хозяйствующие субъекты Республики Коми и других регионов.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В 2023 год</w:t>
      </w:r>
      <w:proofErr w:type="gramStart"/>
      <w:r w:rsidRPr="003000CA">
        <w:rPr>
          <w:sz w:val="24"/>
          <w:szCs w:val="24"/>
        </w:rPr>
        <w:t>у ООО</w:t>
      </w:r>
      <w:proofErr w:type="gramEnd"/>
      <w:r w:rsidRPr="003000CA">
        <w:rPr>
          <w:sz w:val="24"/>
          <w:szCs w:val="24"/>
        </w:rPr>
        <w:t xml:space="preserve"> Племхоз «Ухта-97» стало лауреатом федерального этапа конкурса «Золотой Меркурий» в номинации «Лучшее малое предприятие в агропромышленном комплексе».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К основным проблемам малого и среднего предпринимательства можно отнести </w:t>
      </w:r>
      <w:r w:rsidRPr="003000CA">
        <w:rPr>
          <w:sz w:val="24"/>
          <w:szCs w:val="24"/>
        </w:rPr>
        <w:t xml:space="preserve">нехватку квалифицированных кадров, </w:t>
      </w:r>
      <w:r w:rsidRPr="003000CA">
        <w:rPr>
          <w:spacing w:val="-2"/>
          <w:sz w:val="24"/>
          <w:szCs w:val="24"/>
        </w:rPr>
        <w:t>высокую стоимость финансовых ресурсов,  жесткие требования к заемщикам (кредитные организации не нацелены выдавать кредиты мелким заемщикам и поэтому процентные ставки на услуги кредитования малого бизнеса значительно выше, по сравнению со ставками среднего или крупного бизнеса).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 xml:space="preserve">С целью поддержки субъектов малого и среднего предпринимательства рамках муниципальной программы «Развитие экономики» ежегодно предоставляется финансовая поддержка, в том числе на технологическое перевооружение, имущественная, консультационная поддержка, решением Совета муниципального округа «Ухта» установлены пониженные ставки налога на имущество физических лиц. 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На официальном сайте администрации муниципального округа «Ухта», в социальных сетях «</w:t>
      </w:r>
      <w:proofErr w:type="spellStart"/>
      <w:r w:rsidRPr="003000CA">
        <w:rPr>
          <w:sz w:val="24"/>
          <w:szCs w:val="24"/>
        </w:rPr>
        <w:t>Вконтакте</w:t>
      </w:r>
      <w:proofErr w:type="spellEnd"/>
      <w:r w:rsidRPr="003000CA">
        <w:rPr>
          <w:sz w:val="24"/>
          <w:szCs w:val="24"/>
        </w:rPr>
        <w:t>» «Мой бизнес Ухта», «Одноклассники» «Мой бизнес Ухта», информационном бюллетене «Город» размещаются информационные материалы (информации, объявления, ссылки, оповещения).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С целью повышения квалификации руководителей и сотрудников хозяйствующих </w:t>
      </w:r>
      <w:r w:rsidRPr="003000CA">
        <w:rPr>
          <w:sz w:val="24"/>
          <w:szCs w:val="24"/>
        </w:rPr>
        <w:lastRenderedPageBreak/>
        <w:t>субъектов проводятся обучающие семинары с выдачей удостоверений, тренинги, организовываются и проводятся рабочие встречи, обучающие программы и конкурсы.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 xml:space="preserve">Проводятся заседания Координационного совета по малому и среднему предпринимательству при главе муниципального округа «Ухта» - руководителе администрации, основными задачами которых являются в том числе, рассмотрение вопросов малого и среднего предпринимательства, требующих координации органов местного самоуправления, по содействию реализации инвестиционных проектов, разработке предложений по созданию благоприятных условий для развития предпринимательской деятельности, снижению административных барьеров, улучшению предпринимательского климата. 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Немаловажным условием развития малого и среднего бизнеса является наличие инфраструктуры поддержки субъектов малого и среднего предпринимательства, такие как: Союз «Торгово-промышленная палата города «Ухты», Некоммерческое Партнерство «Союз малого и среднего бизнеса», ОО «Союз предпринимателей города Ухты», общественный помощник (представитель) Уполномоченного по защите прав предпринимателей в Республике Коми по муниципальному округу «Ухта».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>Управление финансами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Доходы местного бюджета в 2024 году составили 5 770 749 тыс. руб., в  том числе: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налог на доходы физических лиц - 1 207 900 тыс. руб. (21,0 % от общих доходов);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налоги на совокупный доход - 387 433 тыс. руб. (6,7 % от общих доходов);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налог на имущество - 144 174 тыс. руб. (2,5 % от общих доходов);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 - 91 200 тыс. руб. (1,6 % от общих доходов);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доходы от продажи материальных и нематериальных активов - 29 595 тыс. руб. (0,5 % от общих доходов);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безвозмездные поступления - 3 824 701 тыс. руб. (66,3 % от общих доходов).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Основной рост поступлений наблюдается по налогу на доходы физических лиц (в связи с темпом роста фонда начисленной заработной платы работникам в бюджетной сфере и увеличением компенсационных, премиальных выплат по ряду крупных налогоплательщиков, в основном нефтегазовой отрасли) и совокупного дохода (в связи с ростом налоговой базы по упрощенной системе налогообложения).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Поступления по налоговым доходам местного бюджета напрямую связаны с введением с 01.01.2023 единого налогового счета, которым предусмотрено обязательное применение порядка уплаты налогов, сборов и взносов в виде единого налогового платежа и изменением сроков уплаты налогов.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Расходы бюджета за год составили </w:t>
      </w:r>
      <w:r w:rsidRPr="003000CA">
        <w:rPr>
          <w:bCs/>
          <w:sz w:val="24"/>
          <w:szCs w:val="24"/>
        </w:rPr>
        <w:t xml:space="preserve">5 817 294 </w:t>
      </w:r>
      <w:r w:rsidRPr="003000CA">
        <w:rPr>
          <w:sz w:val="24"/>
          <w:szCs w:val="24"/>
        </w:rPr>
        <w:t xml:space="preserve">тыс. руб., дефицит - </w:t>
      </w:r>
      <w:r w:rsidRPr="003000CA">
        <w:rPr>
          <w:bCs/>
          <w:sz w:val="24"/>
          <w:szCs w:val="24"/>
        </w:rPr>
        <w:t xml:space="preserve">46 545 </w:t>
      </w:r>
      <w:r w:rsidRPr="003000CA">
        <w:rPr>
          <w:sz w:val="24"/>
          <w:szCs w:val="24"/>
        </w:rPr>
        <w:t>тыс. руб.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Доля налоговых и неналоговых доходов в общем объеме собственных доходов местного бюджета (без учета субвенций) составила 56,3 %.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Информация об исполнении местного бюджета за период 2022-2024 гг. представлена в таблице 3.</w:t>
      </w:r>
    </w:p>
    <w:p w:rsidR="007C0412" w:rsidRDefault="007C0412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1C528C" w:rsidRDefault="001C528C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3000CA" w:rsidRPr="003000CA" w:rsidRDefault="003000CA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lastRenderedPageBreak/>
        <w:t>Таблица 3</w:t>
      </w:r>
    </w:p>
    <w:p w:rsidR="003000CA" w:rsidRPr="003000CA" w:rsidRDefault="003000CA" w:rsidP="003000CA">
      <w:pPr>
        <w:spacing w:after="20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</w:p>
    <w:p w:rsidR="003000CA" w:rsidRPr="003000CA" w:rsidRDefault="003000CA" w:rsidP="003000CA">
      <w:pPr>
        <w:spacing w:after="200"/>
        <w:ind w:firstLine="567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 xml:space="preserve">Информация об исполнении бюджета муниципального округа «Ухта» </w:t>
      </w:r>
    </w:p>
    <w:p w:rsidR="003000CA" w:rsidRPr="003000CA" w:rsidRDefault="003000CA" w:rsidP="003000CA">
      <w:pPr>
        <w:spacing w:after="200"/>
        <w:ind w:firstLine="567"/>
        <w:contextualSpacing/>
        <w:jc w:val="center"/>
        <w:rPr>
          <w:rFonts w:eastAsia="Calibri"/>
          <w:sz w:val="24"/>
          <w:szCs w:val="24"/>
          <w:lang w:eastAsia="en-US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1559"/>
        <w:gridCol w:w="1276"/>
        <w:gridCol w:w="1417"/>
        <w:gridCol w:w="1276"/>
      </w:tblGrid>
      <w:tr w:rsidR="003000CA" w:rsidRPr="003000CA" w:rsidTr="00E2197E">
        <w:trPr>
          <w:trHeight w:val="953"/>
        </w:trPr>
        <w:tc>
          <w:tcPr>
            <w:tcW w:w="2376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 xml:space="preserve">Исполнение 2022 год </w:t>
            </w:r>
          </w:p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(тыс. руб.)</w:t>
            </w:r>
          </w:p>
        </w:tc>
        <w:tc>
          <w:tcPr>
            <w:tcW w:w="1559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 xml:space="preserve">Исполнение 2023 год </w:t>
            </w:r>
          </w:p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(тыс. руб.)</w:t>
            </w:r>
          </w:p>
        </w:tc>
        <w:tc>
          <w:tcPr>
            <w:tcW w:w="1276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Рост,                  снижение в % к 2022 г.</w:t>
            </w:r>
          </w:p>
        </w:tc>
        <w:tc>
          <w:tcPr>
            <w:tcW w:w="1417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Исполнение 2024 год (тыс. руб.)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Рост,                  снижение в % к 2023 г.</w:t>
            </w:r>
          </w:p>
        </w:tc>
      </w:tr>
      <w:tr w:rsidR="003000CA" w:rsidRPr="003000CA" w:rsidTr="00E2197E">
        <w:trPr>
          <w:trHeight w:val="252"/>
        </w:trPr>
        <w:tc>
          <w:tcPr>
            <w:tcW w:w="2376" w:type="dxa"/>
            <w:hideMark/>
          </w:tcPr>
          <w:p w:rsidR="003000CA" w:rsidRPr="003000CA" w:rsidRDefault="003000CA" w:rsidP="003000CA">
            <w:pPr>
              <w:ind w:firstLine="567"/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559" w:type="dxa"/>
            <w:hideMark/>
          </w:tcPr>
          <w:p w:rsidR="003000CA" w:rsidRPr="003000CA" w:rsidRDefault="003000CA" w:rsidP="003000CA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276" w:type="dxa"/>
            <w:hideMark/>
          </w:tcPr>
          <w:p w:rsidR="003000CA" w:rsidRPr="003000CA" w:rsidRDefault="003000CA" w:rsidP="003000CA">
            <w:pPr>
              <w:ind w:firstLine="567"/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417" w:type="dxa"/>
            <w:hideMark/>
          </w:tcPr>
          <w:p w:rsidR="003000CA" w:rsidRPr="003000CA" w:rsidRDefault="003000CA" w:rsidP="003000CA">
            <w:pPr>
              <w:ind w:firstLine="567"/>
              <w:jc w:val="center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6</w:t>
            </w:r>
          </w:p>
        </w:tc>
      </w:tr>
      <w:tr w:rsidR="003000CA" w:rsidRPr="003000CA" w:rsidTr="00E2197E">
        <w:trPr>
          <w:trHeight w:val="312"/>
        </w:trPr>
        <w:tc>
          <w:tcPr>
            <w:tcW w:w="2376" w:type="dxa"/>
            <w:hideMark/>
          </w:tcPr>
          <w:p w:rsidR="003000CA" w:rsidRPr="003000CA" w:rsidRDefault="003000CA" w:rsidP="003000CA">
            <w:pPr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ДОХОДЫ ВСЕГО</w:t>
            </w:r>
          </w:p>
        </w:tc>
        <w:tc>
          <w:tcPr>
            <w:tcW w:w="1560" w:type="dxa"/>
            <w:hideMark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5 365 215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5 345 759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-0,4</w:t>
            </w:r>
          </w:p>
        </w:tc>
        <w:tc>
          <w:tcPr>
            <w:tcW w:w="1417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5 770 749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7,9</w:t>
            </w:r>
          </w:p>
        </w:tc>
      </w:tr>
      <w:tr w:rsidR="003000CA" w:rsidRPr="003000CA" w:rsidTr="00E2197E">
        <w:trPr>
          <w:trHeight w:val="589"/>
        </w:trPr>
        <w:tc>
          <w:tcPr>
            <w:tcW w:w="2376" w:type="dxa"/>
            <w:hideMark/>
          </w:tcPr>
          <w:p w:rsidR="003000CA" w:rsidRPr="003000CA" w:rsidRDefault="003000CA" w:rsidP="003000CA">
            <w:pPr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НАЛОГОВЫЕ И НЕНАЛОГОВЫЕ ДОХОДЫ</w:t>
            </w:r>
          </w:p>
        </w:tc>
        <w:tc>
          <w:tcPr>
            <w:tcW w:w="1560" w:type="dxa"/>
            <w:hideMark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1 636 341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1 739 792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6,3</w:t>
            </w:r>
          </w:p>
        </w:tc>
        <w:tc>
          <w:tcPr>
            <w:tcW w:w="1417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1 946 049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11,9</w:t>
            </w:r>
          </w:p>
        </w:tc>
      </w:tr>
      <w:tr w:rsidR="003000CA" w:rsidRPr="003000CA" w:rsidTr="00E2197E">
        <w:trPr>
          <w:trHeight w:val="511"/>
        </w:trPr>
        <w:tc>
          <w:tcPr>
            <w:tcW w:w="2376" w:type="dxa"/>
            <w:hideMark/>
          </w:tcPr>
          <w:p w:rsidR="003000CA" w:rsidRPr="003000CA" w:rsidRDefault="003000CA" w:rsidP="003000CA">
            <w:pPr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БЕЗВОЗМЕЗДНЫЕ ПОСТУПЛЕНИЯ</w:t>
            </w:r>
          </w:p>
        </w:tc>
        <w:tc>
          <w:tcPr>
            <w:tcW w:w="1560" w:type="dxa"/>
            <w:hideMark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3 728 874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3 605 967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-3,3</w:t>
            </w:r>
          </w:p>
        </w:tc>
        <w:tc>
          <w:tcPr>
            <w:tcW w:w="1417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3 824 701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6,1</w:t>
            </w:r>
          </w:p>
        </w:tc>
      </w:tr>
      <w:tr w:rsidR="003000CA" w:rsidRPr="003000CA" w:rsidTr="00E2197E">
        <w:trPr>
          <w:trHeight w:val="1137"/>
        </w:trPr>
        <w:tc>
          <w:tcPr>
            <w:tcW w:w="2376" w:type="dxa"/>
            <w:hideMark/>
          </w:tcPr>
          <w:p w:rsidR="003000CA" w:rsidRPr="003000CA" w:rsidRDefault="003000CA" w:rsidP="003000CA">
            <w:pPr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</w:t>
            </w:r>
            <w:proofErr w:type="gramStart"/>
            <w:r w:rsidRPr="003000CA">
              <w:rPr>
                <w:rFonts w:eastAsiaTheme="minorHAnsi"/>
                <w:bCs/>
                <w:lang w:eastAsia="en-US"/>
              </w:rPr>
              <w:t>) (%)</w:t>
            </w:r>
            <w:proofErr w:type="gramEnd"/>
          </w:p>
        </w:tc>
        <w:tc>
          <w:tcPr>
            <w:tcW w:w="1560" w:type="dxa"/>
            <w:hideMark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50,43</w:t>
            </w:r>
          </w:p>
        </w:tc>
        <w:tc>
          <w:tcPr>
            <w:tcW w:w="1559" w:type="dxa"/>
            <w:hideMark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55,29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4,9</w:t>
            </w:r>
          </w:p>
        </w:tc>
        <w:tc>
          <w:tcPr>
            <w:tcW w:w="1417" w:type="dxa"/>
          </w:tcPr>
          <w:p w:rsidR="003000CA" w:rsidRPr="003000CA" w:rsidRDefault="003000CA" w:rsidP="003000CA">
            <w:pPr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56,30</w:t>
            </w:r>
          </w:p>
        </w:tc>
        <w:tc>
          <w:tcPr>
            <w:tcW w:w="1276" w:type="dxa"/>
          </w:tcPr>
          <w:p w:rsidR="003000CA" w:rsidRPr="003000CA" w:rsidRDefault="003000CA" w:rsidP="003000CA">
            <w:pPr>
              <w:ind w:firstLine="567"/>
              <w:jc w:val="right"/>
              <w:rPr>
                <w:rFonts w:eastAsiaTheme="minorHAnsi"/>
                <w:bCs/>
                <w:lang w:eastAsia="en-US"/>
              </w:rPr>
            </w:pPr>
            <w:r w:rsidRPr="003000CA">
              <w:rPr>
                <w:rFonts w:eastAsiaTheme="minorHAnsi"/>
                <w:bCs/>
                <w:lang w:eastAsia="en-US"/>
              </w:rPr>
              <w:t>1,0</w:t>
            </w:r>
          </w:p>
        </w:tc>
      </w:tr>
    </w:tbl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 территории муниципального образования осуществляют деятельность подразделения кредитных организаций: ПАО Сбербанк, «Газпромбанк» (АО),</w:t>
      </w:r>
      <w:r w:rsidRPr="003000CA">
        <w:rPr>
          <w:rFonts w:eastAsiaTheme="minorEastAsia"/>
          <w:b/>
          <w:bCs/>
          <w:sz w:val="24"/>
          <w:szCs w:val="24"/>
          <w:shd w:val="clear" w:color="auto" w:fill="FFFFFF"/>
        </w:rPr>
        <w:t xml:space="preserve"> </w:t>
      </w:r>
      <w:r w:rsidRPr="003000CA">
        <w:rPr>
          <w:sz w:val="24"/>
          <w:szCs w:val="24"/>
        </w:rPr>
        <w:t>Банк ВТБ (ПАО), АО «Почта Банк», АО «</w:t>
      </w:r>
      <w:proofErr w:type="spellStart"/>
      <w:r w:rsidRPr="003000CA">
        <w:rPr>
          <w:sz w:val="24"/>
          <w:szCs w:val="24"/>
        </w:rPr>
        <w:t>Россельхозбанк</w:t>
      </w:r>
      <w:proofErr w:type="spellEnd"/>
      <w:r w:rsidRPr="003000CA">
        <w:rPr>
          <w:sz w:val="24"/>
          <w:szCs w:val="24"/>
        </w:rPr>
        <w:t>», АО «АЛЬФА-БАНК» и другие.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Управление муниципальным имуществом </w:t>
      </w:r>
    </w:p>
    <w:p w:rsidR="003000CA" w:rsidRPr="003000CA" w:rsidRDefault="003000CA" w:rsidP="003000CA">
      <w:pPr>
        <w:widowControl w:val="0"/>
        <w:autoSpaceDE w:val="0"/>
        <w:autoSpaceDN w:val="0"/>
        <w:ind w:left="720"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 муниципальную собственность входит движимое имущество в количестве </w:t>
      </w: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 xml:space="preserve">509145 </w:t>
      </w:r>
      <w:r w:rsidRPr="003000CA">
        <w:rPr>
          <w:sz w:val="24"/>
          <w:szCs w:val="24"/>
        </w:rPr>
        <w:t xml:space="preserve">объектов и недвижимое имущество (здания, сооружения, земельные участки) в количестве </w:t>
      </w: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 xml:space="preserve">8017 </w:t>
      </w:r>
      <w:r w:rsidRPr="003000CA">
        <w:rPr>
          <w:sz w:val="24"/>
          <w:szCs w:val="24"/>
        </w:rPr>
        <w:t xml:space="preserve">объектов общей площадью </w:t>
      </w: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 xml:space="preserve">3761,59 </w:t>
      </w:r>
      <w:r w:rsidRPr="003000CA">
        <w:rPr>
          <w:sz w:val="24"/>
          <w:szCs w:val="24"/>
        </w:rPr>
        <w:t xml:space="preserve">тыс. кв. м.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Имущество, находящееся в муниципальной собственности: 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 xml:space="preserve">в хозяйственном ведении муниципальных унитарных предприятий находится 1761 объект недвижимого имущества и 3808 объектов движимого имущества; 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 xml:space="preserve">в оперативном управлении муниципальных учреждений находится 1178 объектов недвижимого имущества и 501985 объектов движимого имущества; 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 xml:space="preserve">в казне муниципального округа «Ухта» учитывается 5078 объектов недвижимости (из них жилые помещения - 4 284 объекта) и 3352 объекта движимого имущества. 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3000CA">
        <w:rPr>
          <w:spacing w:val="-2"/>
          <w:sz w:val="24"/>
          <w:szCs w:val="24"/>
          <w:lang w:eastAsia="en-US"/>
        </w:rPr>
        <w:t xml:space="preserve">В собственности муниципального округа «Ухта» </w:t>
      </w:r>
      <w:r w:rsidRPr="003000CA">
        <w:rPr>
          <w:rFonts w:eastAsia="Calibri"/>
          <w:sz w:val="24"/>
          <w:szCs w:val="24"/>
          <w:shd w:val="clear" w:color="auto" w:fill="FFFFFF"/>
          <w:lang w:eastAsia="en-US"/>
        </w:rPr>
        <w:t>находится 240 земельных участков общей площадью 15690,5 тыс. кв. м.</w:t>
      </w:r>
    </w:p>
    <w:p w:rsidR="003000CA" w:rsidRPr="003000CA" w:rsidRDefault="003000CA" w:rsidP="003000CA">
      <w:pPr>
        <w:autoSpaceDE w:val="0"/>
        <w:autoSpaceDN w:val="0"/>
        <w:adjustRightInd w:val="0"/>
        <w:ind w:right="57"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Для индивидуального жилищного строительства или ведения личного подсобного хозяйства с возможностью возведения жилого дома предоставляются земельные участки гражданам в собственность бесплатно,  в том числе: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3000CA">
        <w:rPr>
          <w:rFonts w:eastAsia="Calibri"/>
          <w:color w:val="000000"/>
          <w:sz w:val="24"/>
          <w:szCs w:val="24"/>
          <w:lang w:eastAsia="en-US"/>
        </w:rPr>
        <w:t xml:space="preserve">гражданам, имеющим трех и более детей - родителям (одиноким родителям), опекунам, попечителям, приемным родителям, имеющим трех и более детей; 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участникам специальной военной операции, являющимися ветеранами боевых действий;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членам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операции, в случае гибели (смерти) участника специальной военной операции до реализации им права на получение земельного участка;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3000CA">
        <w:rPr>
          <w:rFonts w:eastAsia="Calibri"/>
          <w:sz w:val="24"/>
          <w:szCs w:val="24"/>
          <w:lang w:eastAsia="en-US"/>
        </w:rPr>
        <w:lastRenderedPageBreak/>
        <w:t>военнослужащим, лицам, заключившим контракт о пребывании в добровольческом формировании, содействующим выполнению задач, возложенных на Вооруженные Силы Российской Федерации, и лицам, проходящим службу в войсках национальной гвардии Российской Федерации и имеющим специальные звания полиции, удостоенным звания Героя Российской Федерации, Героя Республики Коми или награжденным орденами Российской Федерации, за заслуги, проявленным в ходе участия в специальной военной операции, и являющимся ветеранами боевых</w:t>
      </w:r>
      <w:proofErr w:type="gramEnd"/>
      <w:r w:rsidRPr="003000CA">
        <w:rPr>
          <w:rFonts w:eastAsia="Calibri"/>
          <w:sz w:val="24"/>
          <w:szCs w:val="24"/>
          <w:lang w:eastAsia="en-US"/>
        </w:rPr>
        <w:t xml:space="preserve"> действий;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членам семей военнослужащих и лиц, погибших (умерших) вследствие увечья (ранения, травмы, контузии) или заболевания, полученных ими в ходе участия в специальной военной операции.</w:t>
      </w:r>
    </w:p>
    <w:p w:rsidR="003000CA" w:rsidRPr="003000CA" w:rsidRDefault="003000CA" w:rsidP="003000CA">
      <w:pPr>
        <w:shd w:val="clear" w:color="auto" w:fill="FFFFFF"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На сегодняшний день в списке граждан льготной категории состоит 32 гражданина, в том числе 28 - многодетные, 1 ветеран боевых действий, 3 участника СВО.</w:t>
      </w:r>
      <w:proofErr w:type="gramEnd"/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За период с 2012 по 2024 гг. льготной категории граждан было предоставлено  271 земельный участок, в том числе 4 - ветеранам боевых действий (в 2024 году - 28 земельных участков многодетным и одной многодетной семье  предоставлена единовременная денежная выплата взамен предоставления им земельного участка).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Ежегодно количество имущества, находящегося в муниципальной собственности, увеличивается в среднем на 3 % от общего числа объектов. Данная тенденция обусловлена укреплением материально-технической базы муниципальных учреждений, а так же выявлением и принятием в муниципальную собственность бесхозяйных и выморочных объектов.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В аренду передано имущество площадью 15,1 тыс. кв. м., доходы от сдачи в аренду муниципального имущества (за исключением земельных участков) в среднем за год составляют 18 </w:t>
      </w:r>
      <w:proofErr w:type="gramStart"/>
      <w:r w:rsidRPr="003000CA">
        <w:rPr>
          <w:spacing w:val="-2"/>
          <w:sz w:val="24"/>
          <w:szCs w:val="24"/>
        </w:rPr>
        <w:t>млн</w:t>
      </w:r>
      <w:proofErr w:type="gramEnd"/>
      <w:r w:rsidRPr="003000CA">
        <w:rPr>
          <w:spacing w:val="-2"/>
          <w:sz w:val="24"/>
          <w:szCs w:val="24"/>
        </w:rPr>
        <w:t xml:space="preserve"> рублей. 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Во исполнение плана приватизации за 2022-2024  гг. было реализовано в соответствии с Федеральным законом «О приватизации государственного и муниципального имущества» 18 объектов недвижимого имущества на сумму 19,9  </w:t>
      </w:r>
      <w:proofErr w:type="gramStart"/>
      <w:r w:rsidRPr="003000CA">
        <w:rPr>
          <w:spacing w:val="-2"/>
          <w:sz w:val="24"/>
          <w:szCs w:val="24"/>
          <w:lang w:eastAsia="en-US"/>
        </w:rPr>
        <w:t>млн</w:t>
      </w:r>
      <w:proofErr w:type="gramEnd"/>
      <w:r w:rsidRPr="003000CA">
        <w:rPr>
          <w:spacing w:val="-2"/>
          <w:sz w:val="24"/>
          <w:szCs w:val="24"/>
          <w:lang w:eastAsia="en-US"/>
        </w:rPr>
        <w:t xml:space="preserve"> рублей</w:t>
      </w:r>
      <w:r w:rsidRPr="003000CA">
        <w:rPr>
          <w:spacing w:val="-2"/>
          <w:sz w:val="24"/>
          <w:szCs w:val="24"/>
        </w:rPr>
        <w:t xml:space="preserve">  и 7 земельных участков площадью 15,1 тыс. кв. м  на сумму 19,6 </w:t>
      </w:r>
      <w:r w:rsidRPr="003000CA">
        <w:rPr>
          <w:spacing w:val="-2"/>
          <w:sz w:val="24"/>
          <w:szCs w:val="24"/>
          <w:lang w:eastAsia="en-US"/>
        </w:rPr>
        <w:t>млн рублей.</w:t>
      </w:r>
    </w:p>
    <w:p w:rsidR="003000CA" w:rsidRPr="003000CA" w:rsidRDefault="003000CA" w:rsidP="003000CA">
      <w:pPr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В соответствии с Федеральным законом 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за 2022-2024 гг. продано 10 объектов на сумму 15,7 </w:t>
      </w:r>
      <w:proofErr w:type="gramStart"/>
      <w:r w:rsidRPr="003000CA">
        <w:rPr>
          <w:spacing w:val="-2"/>
          <w:sz w:val="24"/>
          <w:szCs w:val="24"/>
          <w:lang w:eastAsia="en-US"/>
        </w:rPr>
        <w:t>млн</w:t>
      </w:r>
      <w:proofErr w:type="gramEnd"/>
      <w:r w:rsidRPr="003000CA">
        <w:rPr>
          <w:spacing w:val="-2"/>
          <w:sz w:val="24"/>
          <w:szCs w:val="24"/>
          <w:lang w:eastAsia="en-US"/>
        </w:rPr>
        <w:t xml:space="preserve"> рублей</w:t>
      </w:r>
      <w:r w:rsidRPr="003000CA">
        <w:rPr>
          <w:spacing w:val="-2"/>
          <w:sz w:val="24"/>
          <w:szCs w:val="24"/>
        </w:rPr>
        <w:t>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Проблемой в сфере управления муниципальным имуществом является низкая инвестиционная привлекательность объектов, находящихся в муниципальной собственности (необходимы значительные объемы капитальных вложений в проведение ремонтных работ пустующих объектов), а также неудобное месторасположение данных объектов.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Жилье и жилищно-коммунальные услуги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3000CA" w:rsidRPr="003000CA" w:rsidRDefault="003000CA" w:rsidP="003000CA">
      <w:pPr>
        <w:tabs>
          <w:tab w:val="left" w:pos="709"/>
          <w:tab w:val="left" w:pos="1302"/>
        </w:tabs>
        <w:suppressAutoHyphens/>
        <w:ind w:firstLine="567"/>
        <w:jc w:val="both"/>
        <w:rPr>
          <w:rFonts w:eastAsia="Calibri"/>
          <w:b/>
          <w:iCs/>
          <w:sz w:val="24"/>
          <w:szCs w:val="24"/>
          <w:lang w:eastAsia="en-US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На территории муниципального округа «Ухта» находится 1298 домов, из них 291 - в деревянном исполнении. </w:t>
      </w:r>
      <w:r w:rsidRPr="003000CA">
        <w:rPr>
          <w:spacing w:val="-2"/>
          <w:kern w:val="2"/>
          <w:sz w:val="24"/>
          <w:szCs w:val="24"/>
          <w:lang w:eastAsia="zh-CN"/>
        </w:rPr>
        <w:t xml:space="preserve">В 2024 году введено в действие жилых домов, построенных населением, 9276 кв. м </w:t>
      </w:r>
      <w:r w:rsidRPr="003000CA">
        <w:rPr>
          <w:rFonts w:eastAsia="Calibri"/>
          <w:spacing w:val="-2"/>
          <w:sz w:val="24"/>
          <w:szCs w:val="24"/>
          <w:lang w:eastAsia="en-US"/>
        </w:rPr>
        <w:t xml:space="preserve">общей площади. 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 состав муниципальной казны входит 4300 жилых помещений площадью 151,56 тыс. кв. м, из них предоставлено: по договорам социального найма - 2711 жилых помещений; коммерческого найма - 23 жилых помещения; детям сиротам - 212 жилых помещений; специализированный фонд - 125 жилых помещений. 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За период 2022-2024 гг. детям-сиротам и детям, оставшимся без попечения родителей, предоставлено 89 квартир (в 2022 году - 31 жилое помещение, в 2023 году - 30 жилых помещений, в 2024 году - 28 жилых помещений).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 соответствии с муниципальной программой «Переселение граждан, проживающих на территории МОГО «Ухта», из аварийного жилищного фонда на 2019-2025 годы» подлежало переселению 43 гражданина, площадь расселяемого аварийного жилищного фонда - 577,8 кв. м. По состоянию на 01.01.2025 Программа исполнена полностью. Также за период 2023-2024 гг. за счет пустующего муниципального жилого фонда удалось переселить граждан из 36 жилых помещений (находящихся в многоквартирных домах, признанных аварийными после </w:t>
      </w:r>
      <w:r w:rsidRPr="003000CA">
        <w:rPr>
          <w:sz w:val="24"/>
          <w:szCs w:val="24"/>
        </w:rPr>
        <w:lastRenderedPageBreak/>
        <w:t xml:space="preserve">01.01.2017, и не вошедших в программу переселения) (в 2023 году - 51 гражданин, в 2024 году - 37 граждан). 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Проблемой по переселению граждан из аварийного жилищного фонда является отсутствие достаточного количества пустующего муниципального жилого фонда.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В очереди на улучшение жилищных условий по состоянию на 01.01.2025 состоит 2805 граждан. За последние три года жильем обеспечено 25 человек, в том числе в 2024 году - 8 человек.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 очереди на улучшение жилищных условий состоит 237 молодых семей.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За период 2022 - 2024 гг. сертификаты на улучшение жилищных условий получили 109 молодых семей (</w:t>
      </w:r>
      <w:r w:rsidRPr="003000CA">
        <w:rPr>
          <w:sz w:val="24"/>
          <w:szCs w:val="24"/>
        </w:rPr>
        <w:t>в 2022 году - 36 семей, в 2023 году - 53 семьи, в 2024 году - 20 семей).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sz w:val="24"/>
          <w:szCs w:val="24"/>
        </w:rPr>
        <w:t>В 2024 году предоставлено 2 государственных жилищных сертификата в рамках мероприятий по обеспечению жильем граждан, выезжающих из районов Крайнего Севера и приравненных к ним местностей, и 2 гражданина с ограниченными возможностями здоровья получили единовременную денежную выплату на строительство или приобретение жилого  помещения.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На территории муниципального округа «Ухта» 9 поставщиков коммунальных услуг населению: </w:t>
      </w:r>
      <w:proofErr w:type="spellStart"/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Ухтинские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тепловые сети ООО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Комитеплоэнерго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»; Ухтинский филиал АО «Коми тепловая компания»; ООО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Сосногорская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тепловая компания»; ООО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УхтаТехРесурс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»; ООО «Сервис-Т»; МУП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Ухтаводоканал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»; Филиал АО «Газпром газораспределение Сыктывкар» в г. Ухте; ПО «ЦЭС» филиала ПАО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Россети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Северо-Запад» в Республике Коми; АО «Коми коммунальные технологии» ПУ «Ухтинский».</w:t>
      </w:r>
      <w:proofErr w:type="gramEnd"/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Общая протяженность водопроводных сетей составляет 388,04 км, в том числе нуждающейся замене - 80,99 км. В 2024 году заменено 2,7 км водопроводных сетей. Общее протяжение уличной канализационной сети 296,28 км, в том числе нуждающейся в замене - 104,94 км. В 2024 году заменено 0,12 км канализационных сетей. Число источников теплоснабжения составляет 22 единицы. Общая протяженность тепловых сетей в двухтрубном исчислении 262,171 км, в том числе нуждающихся в замене - 3,705 км. В 2024 году заменено 1,395 км тепловых сетей.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На территории муниципального округа «Ухта» деятельность по управлению многоквартирными домами осуществляет 21 управляющая организация и 18 товариществ собственников жилья.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В случае если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управляющая организация определяется органом местного самоуправления: в 2024 году «временная» управляющая организация определена в отношении 356 многоквартирных домов.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Процент износа жилого фонда по муниципальному округу «Ухта» составляет порядка 30 %, причинами тому являются: год постройки многоквартирных домов и отсутствие строительства новых домов. Основными путями решения проблемы являются строительство и введение в эксплуатацию новых домов, </w:t>
      </w: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контроль за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деятельностью управляющих компаний.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  <w:r w:rsidRPr="003000CA">
        <w:rPr>
          <w:rFonts w:eastAsiaTheme="minorEastAsia"/>
          <w:iCs/>
          <w:sz w:val="24"/>
          <w:szCs w:val="24"/>
        </w:rPr>
        <w:t>Транспортное обслуживание населения, связь</w:t>
      </w:r>
    </w:p>
    <w:p w:rsidR="003000CA" w:rsidRPr="003000CA" w:rsidRDefault="003000CA" w:rsidP="003000CA">
      <w:pPr>
        <w:widowControl w:val="0"/>
        <w:autoSpaceDE w:val="0"/>
        <w:autoSpaceDN w:val="0"/>
        <w:ind w:left="720" w:firstLine="567"/>
        <w:jc w:val="both"/>
        <w:rPr>
          <w:rFonts w:eastAsiaTheme="minorEastAsia"/>
          <w:b/>
          <w:iCs/>
          <w:sz w:val="24"/>
          <w:szCs w:val="24"/>
        </w:rPr>
      </w:pP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Пассажирские перевозки по муниципальным регулярным автобусным маршрутам на территории </w:t>
      </w:r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>муниципального округа «Ухта»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осуществляют два перевозчика: ООО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Ухтинское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автотранспортное предприятие» </w:t>
      </w: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и ООО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Транссервис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 на основании муниципальных контрактов, заключенных по результатам электронных аукционов.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Транспортная система муниципального округа представлена железнодорожным, воздушным и автомобильным транспортом.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Город связан железной дорогой по прямому пути следования в беспересадочном сообщении с крупными городами России: Москва (1559 км), Санкт-Петербург (1661 км), Нижний Новгород (1317 км), в том числе в южном направлении: Адлер (3464 км), Новороссийск (3176 км). По железнодорожному пути от Ухты прямое сообщение с Сыктывкаром (325 км), а также с Печорой, Усинском, Воркутой. Протяженность участка железнодорожной магистрали составляет 82 км.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lastRenderedPageBreak/>
        <w:t xml:space="preserve">В г. Ухта расположен аэропорт класса «В», который принимает самолеты из Москвы, Санкт-Петербурга, Сыктывкара, Усинска. В связи с тем, что д.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Поромес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и с.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Кедвавом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отнесены к труднодоступным населенным пунктам, АО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Комиавиатранс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» ежегодно в период распутицы выполняет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внутримуниципальные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пассажирские перевозки </w:t>
      </w: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с.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Кедвавом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вертолетами Ми-8.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Автобусное сообщение связывает г. Ухта с городами: Сыктывкар, Вуктыл, Сосногорск, Уфа и Киров. Протяженность автомобильных дорог муниципального округа «Ухта» </w:t>
      </w: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на конец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2023 года составила 322,9 км, из них республиканские - 215,4 км, местные - 107,5 км.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Маршрутная сеть состоит из 15 муниципальных автобусных маршрутов, из них: 5 маршрутов пригородного сообщения, 3 - дачных маршрута и 7 маршрутов городского сообщения. Протяженность автобусных маршрутов составляет 275,35 км. Автобусным сообщением охвачены населенные пункты: пгт Боровой, пгт Ярега, пгт Водный, пгт Шудаяг, пст Седъю,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пст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Кэмдин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пст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Гэрдъель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и микрорайоны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Дежнево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Югэр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, Озёрный, УРМЗ, Дальний,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Ветлосян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, Подгорный. Автомобильный парк перевозчиков преимущественно состоит из автобусов малого и среднего класса. Общее количество автобусов, задействованных в перевозке пассажиров и багажа, составляет 90 единиц, в том </w:t>
      </w: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числе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которые в качестве моторного топлива используют компримированной (сжатый) природной газ. </w:t>
      </w:r>
    </w:p>
    <w:p w:rsidR="003000CA" w:rsidRPr="003000CA" w:rsidRDefault="003000CA" w:rsidP="003000CA">
      <w:pPr>
        <w:tabs>
          <w:tab w:val="left" w:pos="1302"/>
        </w:tabs>
        <w:ind w:firstLine="567"/>
        <w:jc w:val="both"/>
        <w:rPr>
          <w:rFonts w:eastAsia="Arial Unicode MS"/>
          <w:kern w:val="2"/>
          <w:sz w:val="24"/>
          <w:szCs w:val="24"/>
          <w:lang w:eastAsia="zh-CN"/>
        </w:rPr>
      </w:pPr>
      <w:r w:rsidRPr="003000CA">
        <w:rPr>
          <w:rFonts w:eastAsia="Arial Unicode MS"/>
          <w:kern w:val="2"/>
          <w:sz w:val="24"/>
          <w:szCs w:val="24"/>
          <w:lang w:eastAsia="zh-CN"/>
        </w:rPr>
        <w:t>Одной из проблем транспортного обслуживания населения является частые срывы рейсов. Причиной этому является, в том числе нехватка водителей автобусов. Решить проблему можно предложив более выгодные условия для трудоустройства водителей автобусов.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На территории муниципального округа «Ухта» 17 населенных пунктов обеспечены почтовой связью. Доступ к мобильной связи имеется во всех населенных пунктах муниципального образования, услуги предоставляют 6 операторов, однако из-за неуверенного приёма отсутствует интернет в </w:t>
      </w:r>
      <w:r w:rsidRPr="003000CA">
        <w:rPr>
          <w:rFonts w:eastAsiaTheme="minorEastAsia"/>
          <w:sz w:val="24"/>
          <w:szCs w:val="24"/>
        </w:rPr>
        <w:t xml:space="preserve">деревнях </w:t>
      </w:r>
      <w:proofErr w:type="spellStart"/>
      <w:r w:rsidRPr="003000CA">
        <w:rPr>
          <w:rFonts w:eastAsiaTheme="minorEastAsia"/>
          <w:sz w:val="24"/>
          <w:szCs w:val="24"/>
        </w:rPr>
        <w:t>Гажаяг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Изваиль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Лайково</w:t>
      </w:r>
      <w:proofErr w:type="spellEnd"/>
      <w:r w:rsidRPr="003000CA">
        <w:rPr>
          <w:rFonts w:eastAsiaTheme="minorEastAsia"/>
          <w:sz w:val="24"/>
          <w:szCs w:val="24"/>
        </w:rPr>
        <w:t xml:space="preserve">, </w:t>
      </w:r>
      <w:proofErr w:type="spellStart"/>
      <w:r w:rsidRPr="003000CA">
        <w:rPr>
          <w:rFonts w:eastAsiaTheme="minorEastAsia"/>
          <w:sz w:val="24"/>
          <w:szCs w:val="24"/>
        </w:rPr>
        <w:t>Поромес</w:t>
      </w:r>
      <w:proofErr w:type="spellEnd"/>
      <w:r w:rsidRPr="003000CA">
        <w:rPr>
          <w:rFonts w:eastAsiaTheme="minorEastAsia"/>
          <w:sz w:val="24"/>
          <w:szCs w:val="24"/>
        </w:rPr>
        <w:t>.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Theme="minorEastAsia"/>
          <w:b/>
          <w:iCs/>
          <w:sz w:val="24"/>
          <w:szCs w:val="24"/>
        </w:rPr>
      </w:pP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  <w:r w:rsidRPr="003000CA">
        <w:rPr>
          <w:rFonts w:eastAsiaTheme="minorEastAsia"/>
          <w:iCs/>
          <w:sz w:val="24"/>
          <w:szCs w:val="24"/>
        </w:rPr>
        <w:t>Благоустройство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Организации, осуществляющие свою деятельность в сфере благоустройства на территории муниципального округа «Ухта»: МКП «Ухтаспецавтодор», ООО СПК «Темп-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Дорстрой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», МКП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», ООО  «МАФПРОМ», ООО «Партнер-Союз», ООО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Спецавтодор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>Общая площадь городских земель в пределах городской черты составляет 13491 га, в том числе площадь застроенных земель - 2131 га. Общая площадь зеленых насаждений в пределах городской черты составляет 2874 га, в том числе насаждений общего пользования (парки, сады, скверы и бульвары) - 41 га. Общая протяженность улиц, проездов, набережных составляет 122,1 км, из них с усовершенствованным покрытием - 81 км. Площадь, убираемая механизированным способом, составляет 1928 тыс. кв. м, площадь объектов, используемых для захоронения твердых коммунальных отходов - 17 га.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С 2018 года на территории муниципального округа «Ухта» реализуется муниципальная программа «Формирование современной городской среды», направленная на повышение уровня комфортности городской среды на дворовых и общественных территориях муниципального образования.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Ежегодно реализуются мероприятия в сфере благоустройства в рамках проекта «Народный бюджет».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 xml:space="preserve">В отношении общественных территорий проводится работа по содержанию и текущему ремонту,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проводится ремонт асфальтового покрытия дворовых проездов и заездов на дворовые территории.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Ведется постоянная работа по выявлению бесхозяйных объектов и включению их в реестр муниципальной собственности, что неизбежно приводит к увеличению финансовой нагрузки на местный бюджет.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 xml:space="preserve">Ежегодно проводится работа по принудительной эвакуации брошенного и разукомплектованного автотранспорта.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bCs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>Силами МКП «Ухтаспецавтодор» проводятся работы по техническому обслуживанию и санитарному содержанию объектов внешнего благоустройства. МКП «</w:t>
      </w:r>
      <w:proofErr w:type="spellStart"/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t xml:space="preserve">» </w:t>
      </w:r>
      <w:r w:rsidRPr="003000CA">
        <w:rPr>
          <w:rFonts w:eastAsia="Arial Unicode MS"/>
          <w:bCs/>
          <w:iCs/>
          <w:kern w:val="2"/>
          <w:sz w:val="24"/>
          <w:szCs w:val="24"/>
          <w:lang w:eastAsia="zh-CN"/>
        </w:rPr>
        <w:lastRenderedPageBreak/>
        <w:t>выполняет работы по обслуживанию и содержанию наружного освещения, работы по благоустройству (посадка цветов в цветники, содержание парков).</w:t>
      </w:r>
    </w:p>
    <w:p w:rsidR="003000CA" w:rsidRPr="003000CA" w:rsidRDefault="003000CA" w:rsidP="003000CA">
      <w:pPr>
        <w:tabs>
          <w:tab w:val="left" w:pos="567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По отношению к 2019 году индекс качества городской среды в 2023 году в Ухте вырос на 24,3 % и составил 247 баллов из 360. По значению индекса муниципальное образование в 2023 году заняло первое место среди других городов республики.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b/>
          <w:iCs/>
          <w:kern w:val="2"/>
          <w:sz w:val="24"/>
          <w:szCs w:val="24"/>
          <w:lang w:eastAsia="zh-CN"/>
        </w:rPr>
      </w:pP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Theme="minorEastAsia"/>
          <w:iCs/>
          <w:sz w:val="24"/>
          <w:szCs w:val="24"/>
        </w:rPr>
      </w:pPr>
      <w:r w:rsidRPr="003000CA">
        <w:rPr>
          <w:rFonts w:eastAsiaTheme="minorEastAsia"/>
          <w:iCs/>
          <w:sz w:val="24"/>
          <w:szCs w:val="24"/>
        </w:rPr>
        <w:t>Экологическая безопасность, состояние окружающей среды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Организации, осуществляющие свою деятельность в сфере экологии и природопользования на территории муниципального округа «Ухта»: Органы государственного надзора «Ухтинский межрайонный отдел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Россельхознадзора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»; ООО «Региональный оператор Севера»; МКП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»; МКП «Ухтаспецавтодор»; ГУ РК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Ухтинское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лесничество»; отдел по охране окружающей среды по городам Ухта, Сосногорск и Вуктыл управления Государственного надзора Министерства природных ресурсов и охраны окружающей среды Республики Коми; Региональная Автономная некоммерческая организация «Поисково-спасательный центр «ЭКОСПАСКОМИ»; Центр лабораторного анализа и технических измерений по Республике Коми, отдел анализа и мониторинга окружающей среды г. Ухты;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Ростех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-безопасность, Ухтинский филиал; Территориальный отдел Управления Федеральной службы по надзору в сфере защиты прав потребителей и благополучия человека по Республике Коми.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Складирование отходов IV - V класса опасности производится на Ухтинский городской полигон </w:t>
      </w:r>
      <w:r w:rsidRPr="003000CA">
        <w:rPr>
          <w:sz w:val="24"/>
          <w:szCs w:val="24"/>
        </w:rPr>
        <w:t xml:space="preserve">твердых коммунальных отходов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и Ухтинский городской полигон строительного мусора. Деятельность полигонов в пгт Ярега, пгт </w:t>
      </w: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Водный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, пгт Боровой, пст Кэмдин и пст Седъю прекращена. </w:t>
      </w:r>
      <w:r w:rsidRPr="003000CA">
        <w:rPr>
          <w:rFonts w:eastAsia="Arial Unicode MS"/>
          <w:kern w:val="2"/>
          <w:sz w:val="24"/>
          <w:szCs w:val="24"/>
          <w:lang w:eastAsia="zh-CN"/>
        </w:rPr>
        <w:t xml:space="preserve">На Ухтинский полигон свозится мусор так же из Сосногорска, Ижемского, Усть-Цилемского, </w:t>
      </w:r>
      <w:proofErr w:type="spellStart"/>
      <w:r w:rsidRPr="003000CA">
        <w:rPr>
          <w:rFonts w:eastAsia="Arial Unicode MS"/>
          <w:kern w:val="2"/>
          <w:sz w:val="24"/>
          <w:szCs w:val="24"/>
          <w:lang w:eastAsia="zh-CN"/>
        </w:rPr>
        <w:t>Княжпогостского</w:t>
      </w:r>
      <w:proofErr w:type="spellEnd"/>
      <w:r w:rsidRPr="003000CA">
        <w:rPr>
          <w:rFonts w:eastAsia="Arial Unicode MS"/>
          <w:kern w:val="2"/>
          <w:sz w:val="24"/>
          <w:szCs w:val="24"/>
          <w:lang w:eastAsia="zh-CN"/>
        </w:rPr>
        <w:t xml:space="preserve"> и Троицко-Печорского районов.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 соответствии с Территориальной схемой по обращению с отходами Республики Коми и Федеральной схемой по обращению с твердыми коммунальными отходами на территории муниципального округа «Ухта» планируется строительство объекта обращения с твердыми коммунальными отходами (мусоросортировочная линия, полигон). 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="Calibri"/>
          <w:iCs/>
          <w:sz w:val="24"/>
          <w:szCs w:val="24"/>
          <w:lang w:eastAsia="en-US"/>
        </w:rPr>
      </w:pPr>
      <w:r w:rsidRPr="003000CA">
        <w:rPr>
          <w:rFonts w:eastAsia="Calibri"/>
          <w:iCs/>
          <w:sz w:val="24"/>
          <w:szCs w:val="24"/>
          <w:lang w:eastAsia="en-US"/>
        </w:rPr>
        <w:t xml:space="preserve">Для снижения полигонного захоронения отходов реализуются  мероприятия по организации раздельного накопления твердых коммунальных отходов: пластик вывозится ООО «Региональный оператор Севера», сортируется и временно накапливается на складе общества, после чего вывозится для переработки в другие города, согласно заключенным договорам. В 2024 году приобретен 241 контейнер для сбора пластика в местах массового скопления людей, учебных заведениях, на контейнерных площадках многоквартирных домов. 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="Calibri"/>
          <w:iCs/>
          <w:sz w:val="24"/>
          <w:szCs w:val="24"/>
          <w:lang w:eastAsia="en-US"/>
        </w:rPr>
      </w:pPr>
      <w:r w:rsidRPr="003000CA">
        <w:rPr>
          <w:rFonts w:eastAsia="Calibri"/>
          <w:iCs/>
          <w:sz w:val="24"/>
          <w:szCs w:val="24"/>
          <w:lang w:eastAsia="en-US"/>
        </w:rPr>
        <w:t>За 2024 год силам</w:t>
      </w:r>
      <w:proofErr w:type="gramStart"/>
      <w:r w:rsidRPr="003000CA">
        <w:rPr>
          <w:rFonts w:eastAsia="Calibri"/>
          <w:iCs/>
          <w:sz w:val="24"/>
          <w:szCs w:val="24"/>
          <w:lang w:eastAsia="en-US"/>
        </w:rPr>
        <w:t>и ООО</w:t>
      </w:r>
      <w:proofErr w:type="gramEnd"/>
      <w:r w:rsidRPr="003000CA">
        <w:rPr>
          <w:rFonts w:eastAsia="Calibri"/>
          <w:iCs/>
          <w:sz w:val="24"/>
          <w:szCs w:val="24"/>
          <w:lang w:eastAsia="en-US"/>
        </w:rPr>
        <w:t xml:space="preserve"> «Региональный оператор Севера» вывезено на обработку 1085,18 т отходов, в </w:t>
      </w:r>
      <w:proofErr w:type="spellStart"/>
      <w:r w:rsidRPr="003000CA">
        <w:rPr>
          <w:rFonts w:eastAsia="Calibri"/>
          <w:iCs/>
          <w:sz w:val="24"/>
          <w:szCs w:val="24"/>
          <w:lang w:eastAsia="en-US"/>
        </w:rPr>
        <w:t>т.ч</w:t>
      </w:r>
      <w:proofErr w:type="spellEnd"/>
      <w:r w:rsidRPr="003000CA">
        <w:rPr>
          <w:rFonts w:eastAsia="Calibri"/>
          <w:iCs/>
          <w:sz w:val="24"/>
          <w:szCs w:val="24"/>
          <w:lang w:eastAsia="en-US"/>
        </w:rPr>
        <w:t>. направлено на утилизацию с целью вторичного использования 33,73 т, что в 2,4 раза больше чем в 2023 году (14,06 т).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="Calibri"/>
          <w:iCs/>
          <w:sz w:val="24"/>
          <w:szCs w:val="24"/>
          <w:lang w:eastAsia="en-US"/>
        </w:rPr>
      </w:pPr>
      <w:r w:rsidRPr="003000CA">
        <w:rPr>
          <w:rFonts w:eastAsia="Calibri"/>
          <w:iCs/>
          <w:sz w:val="24"/>
          <w:szCs w:val="24"/>
          <w:lang w:eastAsia="en-US"/>
        </w:rPr>
        <w:t xml:space="preserve">Так же прием вторсырья (пластик, полиэтилен, макулатура, картон) для накопления и дальнейшей передачи на переработку в другой город, прием черного и цветного лома, бытовой техники осуществляется индивидуальными предпринимателями. На территории муниципального образования возможно создание сети приемных пунктов отходов, содержащих полезные компоненты, в шаговой доступности в жилых микрорайонах. Однако практика создания двух таких пунктов силами регионального оператора в 2021 году успехом не увенчалась - количество вторсырья, собранного в этих пунктах не окупало аренду помещений.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В </w:t>
      </w:r>
      <w:r w:rsidRPr="003000CA">
        <w:rPr>
          <w:rFonts w:eastAsia="Calibri"/>
          <w:iCs/>
          <w:sz w:val="24"/>
          <w:szCs w:val="24"/>
          <w:lang w:eastAsia="en-US"/>
        </w:rPr>
        <w:t>2024 году собрано более 1 тонны ртуть содержащих ламп разного вида от населения с последующим временным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накоплением, хранением и передачей по контракту лицензированной организации для транспортировки опасных отходов на переработку. 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Calibri"/>
          <w:sz w:val="24"/>
          <w:szCs w:val="24"/>
          <w:lang w:eastAsia="en-US"/>
        </w:rPr>
        <w:t xml:space="preserve">На территории муниципального образования не оказывается услуга по обращению с твердыми коммунальными отходами в труднодоступных населенных пунктах с.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Кедвавом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 и д. </w:t>
      </w:r>
      <w:proofErr w:type="spellStart"/>
      <w:r w:rsidRPr="003000CA">
        <w:rPr>
          <w:rFonts w:eastAsia="Calibri"/>
          <w:sz w:val="24"/>
          <w:szCs w:val="24"/>
          <w:lang w:eastAsia="en-US"/>
        </w:rPr>
        <w:t>Поромес</w:t>
      </w:r>
      <w:proofErr w:type="spellEnd"/>
      <w:r w:rsidRPr="003000CA">
        <w:rPr>
          <w:rFonts w:eastAsia="Calibri"/>
          <w:sz w:val="24"/>
          <w:szCs w:val="24"/>
          <w:lang w:eastAsia="en-US"/>
        </w:rPr>
        <w:t xml:space="preserve">, поскольку транспортное сообщение с труднодоступными населенными пунктами возможно в зимний период при наличии зимней автодороги.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На удаленном расстоянии от данных населенных пунктов установлено 6 контейнеров объемом 8 м3, предназначенных для временного накопления отходов с.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Кедвавом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и д.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Поромес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. Для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lastRenderedPageBreak/>
        <w:t>обеспечения благоприятной санитарно-эпидемиологической обстановки для населения в 2024 году силами МКП «Ухтаспецавтодор» вывезено 50 м3 отходов.</w:t>
      </w:r>
    </w:p>
    <w:p w:rsidR="003000CA" w:rsidRPr="003000CA" w:rsidRDefault="003000CA" w:rsidP="003000CA">
      <w:pPr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Calibri"/>
          <w:sz w:val="24"/>
          <w:szCs w:val="24"/>
          <w:lang w:eastAsia="en-US"/>
        </w:rPr>
        <w:t>Недостаточное количество контейнерных площадок в частном секторе, садоводческих товариществах, в гаражных кооперативах ведет к тому, что зачастую твердые коммунальные отходы оказываются на несанкционированных свалках или складируются в контейнеры, расположенные в районе МКД. Это приводит к переполнению контейнеров, не рассчитанных для накопления дополнительных объемов отходов, и захламлению прилегающей территории.</w:t>
      </w:r>
      <w:r w:rsidRPr="003000CA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 связи с этим при реконструкции контейнерных площадок МКД обеспечена возможность накопления (складирования) крупногабаритных отходов  на выделенных зонах для накопления (складирования) крупногабаритных отходов. Существующая планировка застройки населенных территорий не позволяет устанавливать контейнерные площадки в частных секторах, садоводческих товариществах и в гаражных кооперативах при условии соблюдения санитарных норм и правил.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С целью улучшения санитарного состояния территорий муниципального округа «Ухта», береговых полос водных объектов, самих водных объектов проводятся ежегодные экологические акции и субботники, такие как «Общегородской субботник», «Зеленая весна», «Речная лента», «Зеленая Россия» (в 2024 году всего приняло участие 5738 человек, собрано 789,9 м3 отходов), «Марш парков» (высажено 270 деревьев). Ухта заняла 1 место по Республике Коми за участие в акции «Речная лента».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kern w:val="2"/>
          <w:sz w:val="24"/>
          <w:szCs w:val="24"/>
          <w:lang w:eastAsia="zh-CN"/>
        </w:rPr>
        <w:t xml:space="preserve">Большой проблемой является наличие несанкционированных свалок промышленных и строительных отходов. 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Небольшие несанкционированные свалки предлагаются для уборки организациям и предприятиям в рамках экологических природоохранных акций. В течение 2024 года ликвидирована одна крупная свалка строительных отходов, а также шесть несанкционированных свалок, носящих локальный характер, в рамках субботников.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proofErr w:type="gram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В ходе проведения осмотров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зоны и акватории реки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на территории города Ухты выявлены участки несанкционированного размещения отходов производства и потребления, захламления территории бытовым мусором, загрязнение кустарников  и деревьев на берегах  наплавным мусором, участки разрушения берегов, разрушение плотины на отводном русле реки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в м. Заболотный в г. Ухте, многочисленные факты стоянки транспортных средств вне дорог и специально оборудованных</w:t>
      </w:r>
      <w:proofErr w:type="gram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мест, имеющих твердое покрытие, в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зоне реки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.</w:t>
      </w: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ab/>
        <w:t xml:space="preserve">Требуется дальнейшая разработка и реализация мероприятий, направленных на благоустройство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зоны реки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: очистка и благоустройство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водоохранной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зоны реки, проведение мероприятий по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берегоукреплению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реки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на территории города Ухты, в том числе на участке от пр. Космонавтов до устья, создание и обеспечение функционирования парковок (парковочных мест) в целях недопущения движения и стоянки транспортных средств (кроме специальных транспортных средств) на дорогах и в местах, не имеющих твердого покрытия в границах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водоохранных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зон; обеспечение надлежащей эксплуатации плотины на отводном русле реки 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Чибью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 xml:space="preserve"> в м. Заболотный в г. Ухте; информирование населения об ограничениях водопользования на водном объекте общего пользования; оборудование очистными сооружениями эксплуатируемой ливневой канализации на территории населенных пунктов.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 территории муниципального округа «Ухта» продолжается вестись рекультивация нарушенных земель, загрязненных в результате разлива нефти и нефтепродуктов. 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Озеленение на территории муниципального образования осуществляется силами МКП «</w:t>
      </w:r>
      <w:proofErr w:type="spellStart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Горзеленхоз</w:t>
      </w:r>
      <w:proofErr w:type="spellEnd"/>
      <w:r w:rsidRPr="003000CA">
        <w:rPr>
          <w:rFonts w:eastAsia="Arial Unicode MS"/>
          <w:iCs/>
          <w:kern w:val="2"/>
          <w:sz w:val="24"/>
          <w:szCs w:val="24"/>
          <w:lang w:eastAsia="zh-CN"/>
        </w:rPr>
        <w:t>», МКП «Ухтаспецавтодор» и в рамках акций «МАРШ ПАРКОВ», «День эколога», «Сад памяти», «День посадки леса».</w:t>
      </w:r>
    </w:p>
    <w:p w:rsidR="003000CA" w:rsidRPr="003000CA" w:rsidRDefault="003000CA" w:rsidP="003000CA">
      <w:pPr>
        <w:widowControl w:val="0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Наблюдения за качеством атмосферного воздуха проводятся на двух стационарных постах ФГБУ «</w:t>
      </w:r>
      <w:proofErr w:type="gramStart"/>
      <w:r w:rsidRPr="003000CA">
        <w:rPr>
          <w:sz w:val="24"/>
          <w:szCs w:val="24"/>
        </w:rPr>
        <w:t>Северное</w:t>
      </w:r>
      <w:proofErr w:type="gramEnd"/>
      <w:r w:rsidRPr="003000CA">
        <w:rPr>
          <w:sz w:val="24"/>
          <w:szCs w:val="24"/>
        </w:rPr>
        <w:t xml:space="preserve"> УГМС». </w:t>
      </w:r>
      <w:proofErr w:type="gramStart"/>
      <w:r w:rsidRPr="003000CA">
        <w:rPr>
          <w:sz w:val="24"/>
          <w:szCs w:val="24"/>
        </w:rPr>
        <w:t>Посты подразделяются на «промышленный», вблизи предприятий (пост № 1 - пр-т Ленина, д. 12), и «городской фоновый», в жилых районах (пост № 2 - ул. Советская, д. 11).</w:t>
      </w:r>
      <w:proofErr w:type="gramEnd"/>
      <w:r w:rsidRPr="003000CA">
        <w:rPr>
          <w:sz w:val="24"/>
          <w:szCs w:val="24"/>
        </w:rPr>
        <w:t xml:space="preserve"> Основными источниками загрязнения атмосферы являются предприятия нефтехимической, газодобывающей промышленности, стройиндустрии, теплоэнергетики, а также транспорт. Уровень загрязнения атмосферы в 2022 году был низкий. Средние за год концентрации всех загрязняющих веществ в атмосферном воздухе города были ниже санитарных норм. Случаев высокого и экстремально высокого уровня загрязнения атмосферного воздуха не отмечалось. За последние годы в атмосферном воздухе </w:t>
      </w:r>
      <w:r w:rsidRPr="003000CA">
        <w:rPr>
          <w:sz w:val="24"/>
          <w:szCs w:val="24"/>
        </w:rPr>
        <w:lastRenderedPageBreak/>
        <w:t xml:space="preserve">города возросло содержание </w:t>
      </w:r>
      <w:proofErr w:type="spellStart"/>
      <w:r w:rsidRPr="003000CA">
        <w:rPr>
          <w:sz w:val="24"/>
          <w:szCs w:val="24"/>
        </w:rPr>
        <w:t>метилмеркаптана</w:t>
      </w:r>
      <w:proofErr w:type="spellEnd"/>
      <w:r w:rsidRPr="003000CA">
        <w:rPr>
          <w:sz w:val="24"/>
          <w:szCs w:val="24"/>
        </w:rPr>
        <w:t xml:space="preserve">. Снизились среднегодовые концентрации оксида углерода, диоксида азота и </w:t>
      </w:r>
      <w:proofErr w:type="spellStart"/>
      <w:r w:rsidRPr="003000CA">
        <w:rPr>
          <w:sz w:val="24"/>
          <w:szCs w:val="24"/>
        </w:rPr>
        <w:t>бен</w:t>
      </w:r>
      <w:proofErr w:type="gramStart"/>
      <w:r w:rsidRPr="003000CA">
        <w:rPr>
          <w:sz w:val="24"/>
          <w:szCs w:val="24"/>
        </w:rPr>
        <w:t>з</w:t>
      </w:r>
      <w:proofErr w:type="spellEnd"/>
      <w:r w:rsidRPr="003000CA">
        <w:rPr>
          <w:sz w:val="24"/>
          <w:szCs w:val="24"/>
        </w:rPr>
        <w:t>(</w:t>
      </w:r>
      <w:proofErr w:type="gramEnd"/>
      <w:r w:rsidRPr="003000CA">
        <w:rPr>
          <w:sz w:val="24"/>
          <w:szCs w:val="24"/>
        </w:rPr>
        <w:t>а)</w:t>
      </w:r>
      <w:proofErr w:type="spellStart"/>
      <w:r w:rsidRPr="003000CA">
        <w:rPr>
          <w:sz w:val="24"/>
          <w:szCs w:val="24"/>
        </w:rPr>
        <w:t>пирена</w:t>
      </w:r>
      <w:proofErr w:type="spellEnd"/>
      <w:r w:rsidRPr="003000CA">
        <w:rPr>
          <w:sz w:val="24"/>
          <w:szCs w:val="24"/>
        </w:rPr>
        <w:t>. Содержание взвешенных веществ, сероводорода, диоксида серы и формальдегида в атмосферном воздухе города существенно не изменилось.</w:t>
      </w:r>
    </w:p>
    <w:p w:rsidR="003000CA" w:rsidRPr="003000CA" w:rsidRDefault="003000CA" w:rsidP="003000CA">
      <w:pPr>
        <w:tabs>
          <w:tab w:val="left" w:pos="1302"/>
        </w:tabs>
        <w:suppressAutoHyphens/>
        <w:ind w:firstLine="567"/>
        <w:jc w:val="both"/>
        <w:rPr>
          <w:rFonts w:eastAsia="Arial Unicode MS"/>
          <w:iCs/>
          <w:kern w:val="2"/>
          <w:sz w:val="24"/>
          <w:szCs w:val="24"/>
          <w:lang w:eastAsia="zh-CN"/>
        </w:rPr>
      </w:pP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bCs/>
          <w:spacing w:val="-2"/>
          <w:sz w:val="24"/>
          <w:szCs w:val="24"/>
        </w:rPr>
      </w:pPr>
      <w:r w:rsidRPr="003000CA">
        <w:rPr>
          <w:bCs/>
          <w:spacing w:val="-2"/>
          <w:sz w:val="24"/>
          <w:szCs w:val="24"/>
        </w:rPr>
        <w:t>Защита населения и территорий от чрезвычайных ситуаций, обеспечение пожарной безопасности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 территории муниципального округа «Ухта» находятся 9 потенциально опасных объектов, 243 опасных производственных объекта, на которых хранится нефть, нефтепродукты, сжиженный и природный газ, взрывчатые материалы и химически опасные вещества. Также существует большое количество линейных объектов и производственных объектов жизнеобеспечения населения. Все они являются источниками рисков возникновения аварийных и чрезвычайных ситуаций и представляют значительную опасность для жизнедеятельности населения.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 территории муниципального образования имеют место последствия проводимой в 1930-1940 гг. геологоразведки - наличие бесхозяйных поисково-разведочных скважин (по различным оценкам количество скважин - от 600 до 1100 единиц). В весенне-летний период часть скважин становятся источниками загрязнений водных источников и рельефа на территории муниципального округа «Ухта». Обследование ликвидированных объектов должно производиться ежегодно с целью составления реестра и подробной схемы расположения скважин, выявление фактов нарушения целостности тампонажа скважин, и как следствие - экологической опасности и разработки рекомендаций по минимизации рисков дальнейшего разрушения скважин или нанесения вреда окружающей среде.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Так же важным фактором опасного последствия производственно-экономической деятельности предшествующих лет является наличие точек и зон повышенного радиационного фона на территории пгт Водный и прилегающей территории, связанное с функционированием радиевых промыслов, действовавших в период с 1931 года по 1953 год.</w:t>
      </w:r>
      <w:proofErr w:type="gramEnd"/>
      <w:r w:rsidRPr="003000CA">
        <w:rPr>
          <w:sz w:val="24"/>
          <w:szCs w:val="24"/>
        </w:rPr>
        <w:t xml:space="preserve"> Ежегодно проводится маркировка предупреждающими знаками таких точек и зон, замеры радиационного фона на территории селитебной территории пгт </w:t>
      </w:r>
      <w:proofErr w:type="gramStart"/>
      <w:r w:rsidRPr="003000CA">
        <w:rPr>
          <w:sz w:val="24"/>
          <w:szCs w:val="24"/>
        </w:rPr>
        <w:t>Водный</w:t>
      </w:r>
      <w:proofErr w:type="gramEnd"/>
      <w:r w:rsidRPr="003000CA">
        <w:rPr>
          <w:sz w:val="24"/>
          <w:szCs w:val="24"/>
        </w:rPr>
        <w:t>.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Вследствие климатических изменений, отсутствия дноуглубительных работ по рекам бассейна р. Печоры в последние годы фиксируются высокие уровни паводковых вод.  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 xml:space="preserve">При повышении уровня воды в реке Ухта выше критической отметки (590 см) в г. Ухте имеются риски подтопления домовладений, объектов экономики, социально значимых объектов в районе ул. Заречная, Почтовая, Вокзальная, расположенных в низинной прибрежной зоне. </w:t>
      </w:r>
      <w:proofErr w:type="gramEnd"/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Наивысший уровень воды за историю наблюдений </w:t>
      </w:r>
      <w:proofErr w:type="gramStart"/>
      <w:r w:rsidRPr="003000CA">
        <w:rPr>
          <w:sz w:val="24"/>
          <w:szCs w:val="24"/>
        </w:rPr>
        <w:t>был</w:t>
      </w:r>
      <w:proofErr w:type="gramEnd"/>
      <w:r w:rsidRPr="003000CA">
        <w:rPr>
          <w:sz w:val="24"/>
          <w:szCs w:val="24"/>
        </w:rPr>
        <w:t xml:space="preserve"> достигнут в 2020 году - 708 см, было подтоплено 32 частных дома, отселено 17 человек.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В период подготовки к пропуску весеннего половодья проводится комплекс мероприятий организационного и практического характера, направленного на уменьшение риска возникновения чрезвычайных ситуаций, вызванных подтоплением домовладений, объектов экономики, социально значимых объектов г. Ухты, размыва объектов транспортной инфраструктуры. 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На территории муниципального образования в 2024 году зарегистрировано 166 пожаров (в 2023 году - 160), число погибших на пожаре составило 5 человек (в 2023 году - 8 человек), произошел 1 лесной  пожар (в 2023 году - 4 пожара).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  <w:proofErr w:type="gramStart"/>
      <w:r w:rsidRPr="003000CA">
        <w:rPr>
          <w:sz w:val="24"/>
          <w:szCs w:val="24"/>
        </w:rPr>
        <w:t>Вследствие изменений федерального законодательства в области обеспечения требований пожарной безопасности, расширения жилой застройки в населенных пунктах муниципального округа «Ухта», увеличения площади садовых и огороднических товариществ граждан, необходимости реализации мероприятий по обеспечению первичных мер пожарной безопасности на этих территориях, возрастает количество объектов и территорий, в отношении которых необходимо обустройство источников наружного противопожарного водоснабжения (пожарные водоемы и пожарные гидранты), обустройство противопожарных разрывов</w:t>
      </w:r>
      <w:proofErr w:type="gramEnd"/>
      <w:r w:rsidRPr="003000CA">
        <w:rPr>
          <w:sz w:val="24"/>
          <w:szCs w:val="24"/>
        </w:rPr>
        <w:t xml:space="preserve"> и минерализованных полос вокруг всех 18 населенных пунктов и территорий муниципального округа «Ухта», подверженных угрозе ландшафтных (природных) и лесных пожаров.</w:t>
      </w:r>
    </w:p>
    <w:p w:rsidR="003000CA" w:rsidRPr="003000CA" w:rsidRDefault="003000CA" w:rsidP="003000CA">
      <w:pPr>
        <w:widowControl w:val="0"/>
        <w:shd w:val="clear" w:color="auto" w:fill="FFFFFF" w:themeFill="background1"/>
        <w:suppressAutoHyphens/>
        <w:ind w:firstLine="567"/>
        <w:jc w:val="both"/>
        <w:rPr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bCs/>
          <w:spacing w:val="-2"/>
          <w:sz w:val="24"/>
          <w:szCs w:val="24"/>
        </w:rPr>
      </w:pPr>
      <w:r w:rsidRPr="003000CA">
        <w:rPr>
          <w:bCs/>
          <w:spacing w:val="-2"/>
          <w:sz w:val="24"/>
          <w:szCs w:val="24"/>
        </w:rPr>
        <w:t>Правонарушения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По данным </w:t>
      </w:r>
      <w:proofErr w:type="spellStart"/>
      <w:r w:rsidRPr="003000CA">
        <w:rPr>
          <w:sz w:val="24"/>
          <w:szCs w:val="24"/>
        </w:rPr>
        <w:t>Комистат</w:t>
      </w:r>
      <w:proofErr w:type="spellEnd"/>
      <w:r w:rsidRPr="003000CA">
        <w:rPr>
          <w:sz w:val="24"/>
          <w:szCs w:val="24"/>
        </w:rPr>
        <w:t xml:space="preserve"> за 2024 год зарегистрировано 1617 преступлений, что на 27,1 % меньше, чем в 2023 году, число тяжких и особо тяжких преступлений составило 540 единиц или 33,4 % к общему числу преступлений. Выявлено 687 человек, совершивших преступления, в том числе, лица в возрасте 14-17 лет - 45 человек; в возрасте 18-29 лет - 194 человека.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Удельный вес зарегистрированных преступлений, совершенных в общественных местах, в том числе и на улице, составил 23,0 % (за 2023 год - 21,7 %).  В структуре преступлений, совершенных на улице и общественных местах, доминируют кражи.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 xml:space="preserve">Общая раскрываемость преступлений составила 51,2 % (за 2023 год - 58,0 %).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Число преступлений, выявленных по линии незаконного оборота наркотических средств и психотропных веществ, снизилось на 10,1 %. Всего из незаконного оборота изъято 640 грамм наркотических и психотропных веществ.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3000CA">
        <w:rPr>
          <w:sz w:val="24"/>
          <w:szCs w:val="24"/>
        </w:rPr>
        <w:t>Количество дорожно-транспортных происшествий на дорогах муниципального образования за 2024 год по отношению к 2023 году уменьшилось и составило 115 единиц (за 2023 год - 124 единицы), число пострадавших со смертельным исходом составило 9 человек (в 2023 году - 6 человек).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3000CA" w:rsidRPr="003000CA" w:rsidTr="00E2197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7"/>
            </w:tblGrid>
            <w:tr w:rsidR="003000CA" w:rsidRPr="003000CA" w:rsidTr="00E2197E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9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000CA" w:rsidRPr="003000CA" w:rsidRDefault="003000CA" w:rsidP="003000CA">
                  <w:pPr>
                    <w:widowControl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4"/>
                    </w:rPr>
                  </w:pPr>
                  <w:r w:rsidRPr="003000CA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3000CA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Основной проблемой в области правонарушений является недостаточное количество патрульно-постовой службы в охране общественного порядка и обеспечения общественной безопасности. </w:t>
                  </w:r>
                </w:p>
              </w:tc>
            </w:tr>
            <w:tr w:rsidR="003000CA" w:rsidRPr="003000CA" w:rsidTr="00E2197E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90" w:type="dxa"/>
                    <w:bottom w:w="0" w:type="dxa"/>
                    <w:right w:w="0" w:type="dxa"/>
                  </w:tcMar>
                  <w:vAlign w:val="center"/>
                </w:tcPr>
                <w:p w:rsidR="003000CA" w:rsidRPr="003000CA" w:rsidRDefault="003000CA" w:rsidP="003000CA">
                  <w:pPr>
                    <w:ind w:firstLine="567"/>
                    <w:rPr>
                      <w:rFonts w:eastAsia="Calibri"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3000CA" w:rsidRPr="003000CA" w:rsidRDefault="003000CA" w:rsidP="003000CA">
            <w:pPr>
              <w:ind w:firstLine="567"/>
              <w:rPr>
                <w:i/>
                <w:sz w:val="24"/>
                <w:szCs w:val="24"/>
              </w:rPr>
            </w:pPr>
          </w:p>
        </w:tc>
      </w:tr>
    </w:tbl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spacing w:val="-2"/>
          <w:sz w:val="24"/>
          <w:szCs w:val="24"/>
        </w:rPr>
        <w:t xml:space="preserve">Управление </w:t>
      </w:r>
    </w:p>
    <w:p w:rsidR="003000CA" w:rsidRPr="003000CA" w:rsidRDefault="003000CA" w:rsidP="003000CA">
      <w:pPr>
        <w:widowControl w:val="0"/>
        <w:autoSpaceDE w:val="0"/>
        <w:autoSpaceDN w:val="0"/>
        <w:ind w:left="1184" w:firstLine="567"/>
        <w:jc w:val="both"/>
        <w:rPr>
          <w:spacing w:val="-2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trike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С 01.07.2023 Законом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 Коми» муниципальное образование городского округа «Ухта» Республики Коми наделен статусом муниципального округа.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Структуру органов местного самоуправления муниципального округа «Ухта» составляют: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Совет муниципального округа «Ухта» Республики Коми - представительный орган муниципального округа;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глава муниципального округа «Ухта» Республики Коми - руководитель администрации;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администрация муниципального округа «Ухта» Республики Коми - исполнительно-распорядительный орган муниципального округа;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Контрольно-счетная палата муниципального округа «Ухта» Республики Коми - контрольно счетный орган муниципального округа.</w:t>
      </w:r>
    </w:p>
    <w:p w:rsidR="003000CA" w:rsidRPr="003000CA" w:rsidRDefault="003000CA" w:rsidP="003000CA">
      <w:pPr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Для публикации социально-значимой информации, онлайн-голосования используются официальный сайт администрации муниципального округа «Ухта» и сайты отраслевых (функциональных) органов администрации муниципального округа «Ухта».</w:t>
      </w:r>
    </w:p>
    <w:p w:rsidR="003000CA" w:rsidRPr="003000CA" w:rsidRDefault="003000CA" w:rsidP="003000CA">
      <w:pPr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На Платформе обратной связи использованием Единого портала государственных и </w:t>
      </w:r>
      <w:r w:rsidRPr="003000CA">
        <w:rPr>
          <w:rFonts w:eastAsiaTheme="minorEastAsia"/>
          <w:sz w:val="24"/>
          <w:szCs w:val="24"/>
        </w:rPr>
        <w:t>муниципальных услуг (функций)  (далее - ЕПГУ) проводится опрос граждан, голосование по проектам инициативного бюджетирования, проводятся публичные слушания и  общественные обсуждения, функционирует муниципальный центр управления, который работает в системе «</w:t>
      </w:r>
      <w:proofErr w:type="spellStart"/>
      <w:r w:rsidRPr="003000CA">
        <w:rPr>
          <w:rFonts w:eastAsiaTheme="minorEastAsia"/>
          <w:sz w:val="24"/>
          <w:szCs w:val="24"/>
        </w:rPr>
        <w:t>Инцидент</w:t>
      </w:r>
      <w:proofErr w:type="gramStart"/>
      <w:r w:rsidRPr="003000CA">
        <w:rPr>
          <w:rFonts w:eastAsiaTheme="minorEastAsia"/>
          <w:sz w:val="24"/>
          <w:szCs w:val="24"/>
        </w:rPr>
        <w:t>.М</w:t>
      </w:r>
      <w:proofErr w:type="gramEnd"/>
      <w:r w:rsidRPr="003000CA">
        <w:rPr>
          <w:rFonts w:eastAsiaTheme="minorEastAsia"/>
          <w:sz w:val="24"/>
          <w:szCs w:val="24"/>
        </w:rPr>
        <w:t>енеджмент</w:t>
      </w:r>
      <w:proofErr w:type="spellEnd"/>
      <w:r w:rsidRPr="003000CA">
        <w:rPr>
          <w:rFonts w:eastAsiaTheme="minorEastAsia"/>
          <w:sz w:val="24"/>
          <w:szCs w:val="24"/>
        </w:rPr>
        <w:t xml:space="preserve">».  </w:t>
      </w:r>
    </w:p>
    <w:p w:rsidR="003000CA" w:rsidRPr="003000CA" w:rsidRDefault="003000CA" w:rsidP="003000CA">
      <w:pPr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Организована работа по предоставлению 75 муниципальных услуг, в том числе по предоставлению 41 массовой социально значимой услуги в электронном виде через Платформу государственных сервисов с использованием Единого портала государственных и муниципальных услуг (функций) (далее - ЕПГУ), что составило 54,6 % от общего количества муниципальных услуг, предоставляемых в муниципальном округе «Ухта». </w:t>
      </w:r>
    </w:p>
    <w:p w:rsidR="003000CA" w:rsidRPr="003000CA" w:rsidRDefault="003000CA" w:rsidP="003000CA">
      <w:pPr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Всего за 2024 год подано 25890 заявлений (обращений) по муниципальным услугам (за 2023 год - 25671 заявление), из них 23804 - по массовым социально значимым услугам. Доля обращений за получением массовых социально значимых услуг, поступивших в электронном </w:t>
      </w:r>
      <w:r w:rsidRPr="003000CA">
        <w:rPr>
          <w:rFonts w:eastAsiaTheme="minorEastAsia"/>
          <w:sz w:val="24"/>
          <w:szCs w:val="24"/>
        </w:rPr>
        <w:lastRenderedPageBreak/>
        <w:t xml:space="preserve">виде с использованием ЕПГУ, в зависимости от общего количества обращений за получением таких услуг, за 2024 год составила 22,2 %, что на 11,1 % больше по сравнению с 2023 годом. </w:t>
      </w:r>
    </w:p>
    <w:p w:rsidR="003000CA" w:rsidRPr="003000CA" w:rsidRDefault="003000CA" w:rsidP="003000CA">
      <w:pPr>
        <w:ind w:firstLine="567"/>
        <w:jc w:val="both"/>
        <w:rPr>
          <w:rFonts w:eastAsia="Arial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>В целях популяризации механизма получения массовых социально значимых муниципальных услуг в электронной форме администрацией муниципального</w:t>
      </w:r>
      <w:r w:rsidRPr="003000CA">
        <w:rPr>
          <w:rFonts w:eastAsia="Arial"/>
          <w:sz w:val="24"/>
          <w:szCs w:val="24"/>
        </w:rPr>
        <w:t xml:space="preserve"> округа «Ухта проводится работа по информированию граждан по вопросам предоставления муниципальных услуг в электронном виде через ЕПГУ: размещается информация на официальном сайте администрации муниципального округа «Ухта», в социальных сетях </w:t>
      </w:r>
      <w:proofErr w:type="spellStart"/>
      <w:r w:rsidRPr="003000CA">
        <w:rPr>
          <w:rFonts w:eastAsia="Arial"/>
          <w:sz w:val="24"/>
          <w:szCs w:val="24"/>
        </w:rPr>
        <w:t>ВКонтакте</w:t>
      </w:r>
      <w:proofErr w:type="spellEnd"/>
      <w:r w:rsidRPr="003000CA">
        <w:rPr>
          <w:rFonts w:eastAsia="Arial"/>
          <w:sz w:val="24"/>
          <w:szCs w:val="24"/>
        </w:rPr>
        <w:t xml:space="preserve">, Одноклассники, </w:t>
      </w:r>
      <w:proofErr w:type="spellStart"/>
      <w:r w:rsidRPr="003000CA">
        <w:rPr>
          <w:rFonts w:eastAsia="Arial"/>
          <w:sz w:val="24"/>
          <w:szCs w:val="24"/>
        </w:rPr>
        <w:t>телеграм</w:t>
      </w:r>
      <w:proofErr w:type="spellEnd"/>
      <w:r w:rsidRPr="003000CA">
        <w:rPr>
          <w:rFonts w:eastAsia="Arial"/>
          <w:sz w:val="24"/>
          <w:szCs w:val="24"/>
        </w:rPr>
        <w:t xml:space="preserve">-каналах, СМИ и городских сообществах (газета «Ухта», газета «PRO Город Ухта», паблик в </w:t>
      </w:r>
      <w:proofErr w:type="spellStart"/>
      <w:r w:rsidRPr="003000CA">
        <w:rPr>
          <w:rFonts w:eastAsia="Arial"/>
          <w:sz w:val="24"/>
          <w:szCs w:val="24"/>
        </w:rPr>
        <w:t>социальныхсетях</w:t>
      </w:r>
      <w:proofErr w:type="spellEnd"/>
      <w:proofErr w:type="gramEnd"/>
      <w:r w:rsidRPr="003000CA">
        <w:rPr>
          <w:rFonts w:eastAsia="Arial"/>
          <w:sz w:val="24"/>
          <w:szCs w:val="24"/>
        </w:rPr>
        <w:t xml:space="preserve"> «</w:t>
      </w:r>
      <w:proofErr w:type="spellStart"/>
      <w:proofErr w:type="gramStart"/>
      <w:r w:rsidRPr="003000CA">
        <w:rPr>
          <w:rFonts w:eastAsia="Arial"/>
          <w:sz w:val="24"/>
          <w:szCs w:val="24"/>
        </w:rPr>
        <w:t>ВКонтакте</w:t>
      </w:r>
      <w:proofErr w:type="spellEnd"/>
      <w:r w:rsidRPr="003000CA">
        <w:rPr>
          <w:rFonts w:eastAsia="Arial"/>
          <w:sz w:val="24"/>
          <w:szCs w:val="24"/>
        </w:rPr>
        <w:t>», паблик в социальных сетях «</w:t>
      </w:r>
      <w:proofErr w:type="spellStart"/>
      <w:r w:rsidRPr="003000CA">
        <w:rPr>
          <w:rFonts w:eastAsia="Arial"/>
          <w:sz w:val="24"/>
          <w:szCs w:val="24"/>
        </w:rPr>
        <w:t>ВКонтакте</w:t>
      </w:r>
      <w:proofErr w:type="spellEnd"/>
      <w:r w:rsidRPr="003000CA">
        <w:rPr>
          <w:rFonts w:eastAsia="Arial"/>
          <w:sz w:val="24"/>
          <w:szCs w:val="24"/>
        </w:rPr>
        <w:t>» «НЭП» новости Ухта).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Заключены и реализовываются соглашения о сотрудничестве по вопросам местного значения с МО МР «Ижемский», МО МР «Сосногорск», муниципальным округом «Вуктыл», Гродненским городским исполнительным комитетом (Гродненская область Республики Беларусь) - об установлении и развитии торгово-экономических, научно-технических и культурных связей.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>В целях обеспечения реализации и защиты прав и свобод человека и гражданина, прав и законных интересов общественных объединений и иных негосударственных некоммерческих организаций, а также осуществления общественного контроля за деятельностью органов местного самоуправления муниципального округа «Ухта», муниципальных организаций обеспечивает взаимодействие граждан, общественных объединений с органами местного самоуправления муниципального округа «Ухта» Общественный совет муниципального округа «Ухта».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Муниципальный округ «Ухта» принимает активное участие в реализации региональных проектов Республики Коми в рамках национальных  проектов посредством реализации мероприятий муниципальных программ (за период 2021-2024 гг. администрация муниципального округа «Ухта» приняла участие в реализации 17 региональных проектов в рамках 6 национальных проектов). </w:t>
      </w:r>
      <w:proofErr w:type="gramStart"/>
      <w:r w:rsidRPr="003000CA">
        <w:rPr>
          <w:rFonts w:eastAsiaTheme="minorEastAsia"/>
          <w:sz w:val="24"/>
          <w:szCs w:val="24"/>
        </w:rPr>
        <w:t>Основными результатами реализации мероприятий в рамках региональных проектов за последние годы являются: ввод станции водоочистки с созданием системы управления комплексом водоснабжения «Пожня-Ель», физкультурно-оздоровительного комплекса единоборств в г. Ухта; благоустройство набережной Нефтяников в г. Ухта; обустройство смотровой площадки перед объектом «Силуэт В.И. Ленина»; благоустройство более 50 дворовых территорий; создание детского технопарка «</w:t>
      </w:r>
      <w:proofErr w:type="spellStart"/>
      <w:r w:rsidRPr="003000CA">
        <w:rPr>
          <w:rFonts w:eastAsiaTheme="minorEastAsia"/>
          <w:sz w:val="24"/>
          <w:szCs w:val="24"/>
        </w:rPr>
        <w:t>Кванториум</w:t>
      </w:r>
      <w:proofErr w:type="spellEnd"/>
      <w:r w:rsidRPr="003000CA">
        <w:rPr>
          <w:rFonts w:eastAsiaTheme="minorEastAsia"/>
          <w:sz w:val="24"/>
          <w:szCs w:val="24"/>
        </w:rPr>
        <w:t>»;</w:t>
      </w:r>
      <w:proofErr w:type="gramEnd"/>
      <w:r w:rsidRPr="003000CA">
        <w:rPr>
          <w:rFonts w:eastAsiaTheme="minorEastAsia"/>
          <w:sz w:val="24"/>
          <w:szCs w:val="24"/>
        </w:rPr>
        <w:t xml:space="preserve"> осуществление капитального и текущего ремонта объектов социальной сферы; оснащение учреждений социальной сферы оборудованием, инвентарём и другие.</w:t>
      </w:r>
    </w:p>
    <w:p w:rsidR="003000CA" w:rsidRPr="003000CA" w:rsidRDefault="003000CA" w:rsidP="003000CA">
      <w:pPr>
        <w:tabs>
          <w:tab w:val="left" w:pos="851"/>
        </w:tabs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В 2025 году в рамках реализации:</w:t>
      </w:r>
    </w:p>
    <w:p w:rsidR="003000CA" w:rsidRPr="003000CA" w:rsidRDefault="003000CA" w:rsidP="003000CA">
      <w:pPr>
        <w:tabs>
          <w:tab w:val="left" w:pos="851"/>
        </w:tabs>
        <w:ind w:firstLine="567"/>
        <w:jc w:val="both"/>
        <w:rPr>
          <w:rFonts w:eastAsiaTheme="minorEastAsia"/>
          <w:spacing w:val="1"/>
          <w:sz w:val="28"/>
          <w:szCs w:val="28"/>
        </w:rPr>
      </w:pPr>
      <w:r w:rsidRPr="003000CA">
        <w:rPr>
          <w:rFonts w:eastAsiaTheme="minorEastAsia"/>
          <w:sz w:val="24"/>
          <w:szCs w:val="24"/>
        </w:rPr>
        <w:t>регионального проекта «Формирование комфортной городской среды» (И</w:t>
      </w:r>
      <w:proofErr w:type="gramStart"/>
      <w:r w:rsidRPr="003000CA">
        <w:rPr>
          <w:rFonts w:eastAsiaTheme="minorEastAsia"/>
          <w:sz w:val="24"/>
          <w:szCs w:val="24"/>
        </w:rPr>
        <w:t>4</w:t>
      </w:r>
      <w:proofErr w:type="gramEnd"/>
      <w:r w:rsidRPr="003000CA">
        <w:rPr>
          <w:rFonts w:eastAsiaTheme="minorEastAsia"/>
          <w:sz w:val="24"/>
          <w:szCs w:val="24"/>
        </w:rPr>
        <w:t xml:space="preserve">) путем реализации отдельных мероприятий муниципальной программы «Формирование современной городской среды» запланировано  благоустройство двенадцати дворовых территорий (устройство уличного освещения, поставка и установка малых архитектурных форм (урны, скамейки), устройство детского игрового оборудования во дворе многоквартирного дома), двух  общественных территорий (территории парковой зоны пгт Боровой, территории, прилегающей к железнодорожному вокзалу г. Ухты); </w:t>
      </w:r>
    </w:p>
    <w:p w:rsidR="003000CA" w:rsidRPr="003000CA" w:rsidRDefault="003000CA" w:rsidP="003000CA">
      <w:pPr>
        <w:tabs>
          <w:tab w:val="left" w:pos="993"/>
        </w:tabs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регионального проекта «Педагоги и наставники» (Ю</w:t>
      </w:r>
      <w:proofErr w:type="gramStart"/>
      <w:r w:rsidRPr="003000CA">
        <w:rPr>
          <w:rFonts w:eastAsiaTheme="minorEastAsia"/>
          <w:sz w:val="24"/>
          <w:szCs w:val="24"/>
        </w:rPr>
        <w:t>6</w:t>
      </w:r>
      <w:proofErr w:type="gramEnd"/>
      <w:r w:rsidRPr="003000CA">
        <w:rPr>
          <w:rFonts w:eastAsiaTheme="minorEastAsia"/>
          <w:sz w:val="24"/>
          <w:szCs w:val="24"/>
        </w:rPr>
        <w:t>) предусмотрены: ежемесячные выплаты денежного вознаграждения за классное руководство, обеспечение деятельности советников директоров по воспитанию и взаимодействию с детскими общественными объединениями, выплаты ежемесячного денежного вознаграждения советникам директоров по воспитанию и взаимодействию с детскими общественными объединениями).</w:t>
      </w:r>
    </w:p>
    <w:p w:rsidR="003000CA" w:rsidRPr="003000CA" w:rsidRDefault="003000CA" w:rsidP="003000CA">
      <w:pPr>
        <w:tabs>
          <w:tab w:val="left" w:pos="993"/>
        </w:tabs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Заключение соглашений с органами исполнительной власти Республики Коми с целью реализации региональных проектов на территории муниципального образования в текущем году продолжится. </w:t>
      </w:r>
    </w:p>
    <w:p w:rsidR="003000CA" w:rsidRPr="003000CA" w:rsidRDefault="003000CA" w:rsidP="003000CA">
      <w:pPr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Население муниципального образования принимает активное участие в реализации проектов инициативного бюджетирования, в том числе в  рамках проекта «Народный бюджет». В рамках проекта «Народный бюджет» в 2024 году были реализованы 11 народных проектов: в сфере образования 4 проекта, в сфере благоустройства территории 3 проекта, 1 прое</w:t>
      </w:r>
      <w:proofErr w:type="gramStart"/>
      <w:r w:rsidRPr="003000CA">
        <w:rPr>
          <w:rFonts w:eastAsiaTheme="minorEastAsia"/>
          <w:sz w:val="24"/>
          <w:szCs w:val="24"/>
        </w:rPr>
        <w:t>кт в сф</w:t>
      </w:r>
      <w:proofErr w:type="gramEnd"/>
      <w:r w:rsidRPr="003000CA">
        <w:rPr>
          <w:rFonts w:eastAsiaTheme="minorEastAsia"/>
          <w:sz w:val="24"/>
          <w:szCs w:val="24"/>
        </w:rPr>
        <w:t xml:space="preserve">ере малого и среднего предпринимательства, 2 проекта в сфере физической </w:t>
      </w:r>
      <w:r w:rsidRPr="003000CA">
        <w:rPr>
          <w:rFonts w:eastAsiaTheme="minorEastAsia"/>
          <w:sz w:val="24"/>
          <w:szCs w:val="24"/>
        </w:rPr>
        <w:lastRenderedPageBreak/>
        <w:t>культуры и спорта и 1 проект по доступной среде.</w:t>
      </w:r>
      <w:r w:rsidRPr="003000CA"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  <w:t xml:space="preserve"> В</w:t>
      </w:r>
      <w:r w:rsidRPr="003000CA">
        <w:rPr>
          <w:rFonts w:eastAsiaTheme="minorEastAsia"/>
          <w:sz w:val="24"/>
          <w:szCs w:val="24"/>
        </w:rPr>
        <w:t xml:space="preserve"> 2025 году началось внедрение нового механизма отбора народных проектов в рамках пилотного проекта «Бюджет и МЫ», который предусматривает формирование бюджетных комиссий из числа наиболее активных граждан. С участием финансового и нефинансового вклада юридических лиц, индивидуальных предпринимателей, граждан открываются большие перспективы для решения жизненно важных проблем, возникающих в населенных пунктах.</w:t>
      </w:r>
    </w:p>
    <w:p w:rsidR="003000CA" w:rsidRPr="003000CA" w:rsidRDefault="003000CA" w:rsidP="003000CA">
      <w:pPr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3000CA">
        <w:rPr>
          <w:color w:val="000000"/>
          <w:sz w:val="24"/>
          <w:szCs w:val="24"/>
        </w:rPr>
        <w:t>Возможные риски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3000CA">
        <w:rPr>
          <w:color w:val="000000"/>
          <w:sz w:val="24"/>
          <w:szCs w:val="24"/>
        </w:rPr>
        <w:t xml:space="preserve">На социально-экономическое развитие муниципального округа «Ухта» существенное влияние оказали </w:t>
      </w:r>
      <w:proofErr w:type="spellStart"/>
      <w:r w:rsidRPr="003000CA">
        <w:rPr>
          <w:color w:val="000000"/>
          <w:sz w:val="24"/>
          <w:szCs w:val="24"/>
        </w:rPr>
        <w:t>пандемийные</w:t>
      </w:r>
      <w:proofErr w:type="spellEnd"/>
      <w:r w:rsidRPr="003000CA">
        <w:rPr>
          <w:color w:val="000000"/>
          <w:sz w:val="24"/>
          <w:szCs w:val="24"/>
        </w:rPr>
        <w:t xml:space="preserve"> ограничения 2020-2021 гг., экономические санкции, в том числе сократилось число действующих организаций, количество индивидуальных предпринимателей, снизилась доступность инвестиционного кредитования. </w:t>
      </w:r>
    </w:p>
    <w:p w:rsidR="003000CA" w:rsidRPr="003000CA" w:rsidRDefault="003000CA" w:rsidP="003000CA">
      <w:pPr>
        <w:ind w:firstLine="567"/>
        <w:jc w:val="both"/>
        <w:textAlignment w:val="baseline"/>
        <w:rPr>
          <w:color w:val="000000"/>
          <w:sz w:val="24"/>
          <w:szCs w:val="24"/>
        </w:rPr>
      </w:pPr>
      <w:r w:rsidRPr="003000CA">
        <w:rPr>
          <w:color w:val="000000"/>
          <w:sz w:val="24"/>
          <w:szCs w:val="24"/>
          <w:lang w:eastAsia="en-US"/>
        </w:rPr>
        <w:t xml:space="preserve">Субъекты малого и среднего предпринимательства столкнулись с дефицитом ресурсов, падением спроса, нехваткой материалов и оборудования (в пищевой промышленности, в сфере </w:t>
      </w:r>
      <w:r w:rsidRPr="003000CA">
        <w:rPr>
          <w:color w:val="000000"/>
          <w:sz w:val="24"/>
          <w:szCs w:val="24"/>
        </w:rPr>
        <w:t>строительства,</w:t>
      </w:r>
      <w:r w:rsidRPr="003000CA">
        <w:rPr>
          <w:color w:val="000000"/>
          <w:sz w:val="24"/>
          <w:szCs w:val="24"/>
          <w:lang w:eastAsia="en-US"/>
        </w:rPr>
        <w:t xml:space="preserve"> торговли, общественного питания, транспорта, здравоохранения и других</w:t>
      </w:r>
      <w:r w:rsidRPr="003000CA">
        <w:rPr>
          <w:color w:val="000000"/>
          <w:sz w:val="24"/>
          <w:szCs w:val="24"/>
        </w:rPr>
        <w:t>).</w:t>
      </w:r>
    </w:p>
    <w:p w:rsidR="003000CA" w:rsidRPr="003000CA" w:rsidRDefault="003000CA" w:rsidP="003000CA">
      <w:pPr>
        <w:ind w:firstLine="567"/>
        <w:jc w:val="both"/>
        <w:textAlignment w:val="baseline"/>
        <w:rPr>
          <w:color w:val="000000"/>
          <w:sz w:val="24"/>
          <w:szCs w:val="24"/>
          <w:lang w:eastAsia="en-US"/>
        </w:rPr>
      </w:pPr>
      <w:r w:rsidRPr="003000CA">
        <w:rPr>
          <w:color w:val="000000"/>
          <w:sz w:val="24"/>
          <w:szCs w:val="24"/>
          <w:lang w:eastAsia="en-US"/>
        </w:rPr>
        <w:t xml:space="preserve">Особенно серьезный удар санкциями был нанесен по нефтегазовым компаниям (муниципальный округ «Ухта» имеет преимущественно </w:t>
      </w:r>
      <w:proofErr w:type="gramStart"/>
      <w:r w:rsidRPr="003000CA">
        <w:rPr>
          <w:color w:val="000000"/>
          <w:sz w:val="24"/>
          <w:szCs w:val="24"/>
          <w:lang w:eastAsia="en-US"/>
        </w:rPr>
        <w:t>топливо-энергетическую</w:t>
      </w:r>
      <w:proofErr w:type="gramEnd"/>
      <w:r w:rsidRPr="003000CA">
        <w:rPr>
          <w:color w:val="000000"/>
          <w:sz w:val="24"/>
          <w:szCs w:val="24"/>
          <w:lang w:eastAsia="en-US"/>
        </w:rPr>
        <w:t xml:space="preserve"> специализацию). 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trike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Возможными рисками на исполнение Стратегии являются: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политические (возможность ухудшения международной политической ситуации, принятия в отношении Российской Федерации новых санкций и ограничений и так далее), влияние данного вида рисков на реализацию Стратегии - умеренное; 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административные (возникновение организационных проблем из-за отсутствия в соответствующих документах стратегического планирования муниципального образования комплексов мероприятий по реализации Стратегии, ответственных участников реализации Стратегии и другие), влияние на реализацию Стратегии - низкое;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финансово-экономические (недостаток финансовых средств и других ресурсов для достижения целей и задач Стратегии, ухудшение финансового положения предприятий, снижение покупательной способности населения и так далее), влияние на реализацию Стратегии - умеренное;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3000CA">
        <w:rPr>
          <w:rFonts w:eastAsiaTheme="minorHAnsi"/>
          <w:sz w:val="24"/>
          <w:szCs w:val="24"/>
          <w:lang w:eastAsia="en-US"/>
        </w:rPr>
        <w:t>технологические  (устаревание технологий, используемых предприятиями, снижение спроса на углеводородное сырье и так далее), влияние на реализацию Стратегии - умеренное;</w:t>
      </w:r>
      <w:proofErr w:type="gramEnd"/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экологические (возникновение крайне неблагоприятных климатических (погодных) условий, экологических проблем и происшествий, затрудняющих реализацию Стратегии), влияние на реализацию Стратегии - низкое.</w:t>
      </w:r>
    </w:p>
    <w:p w:rsidR="003000CA" w:rsidRPr="003000CA" w:rsidRDefault="003000CA" w:rsidP="003000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3000CA" w:rsidRPr="003000CA" w:rsidRDefault="003000CA" w:rsidP="003000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Оценка ресурсов, потенциалов, возможностей и угроз развития муниципального округа «Ухта»</w:t>
      </w:r>
    </w:p>
    <w:p w:rsidR="003000CA" w:rsidRPr="003000CA" w:rsidRDefault="003000CA" w:rsidP="003000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Оценка ресурсов, потенциалов, возможностей и угроз развития муниципального образования представлена в таблице 4.</w:t>
      </w:r>
    </w:p>
    <w:p w:rsidR="003000CA" w:rsidRDefault="003000CA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1C528C" w:rsidRPr="003000CA" w:rsidRDefault="001C528C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right"/>
        <w:outlineLvl w:val="2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lastRenderedPageBreak/>
        <w:t>Таблица 4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SWOT-анализ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4111"/>
        <w:gridCol w:w="3969"/>
      </w:tblGrid>
      <w:tr w:rsidR="003000CA" w:rsidRPr="003000CA" w:rsidTr="00E2197E">
        <w:tc>
          <w:tcPr>
            <w:tcW w:w="1338" w:type="dxa"/>
            <w:vMerge w:val="restart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Внутренние факторы</w:t>
            </w:r>
          </w:p>
        </w:tc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Сильные стороны</w:t>
            </w:r>
          </w:p>
        </w:tc>
        <w:tc>
          <w:tcPr>
            <w:tcW w:w="396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Слабые стороны</w:t>
            </w:r>
          </w:p>
        </w:tc>
      </w:tr>
      <w:tr w:rsidR="003000CA" w:rsidRPr="003000CA" w:rsidTr="00E2197E">
        <w:tc>
          <w:tcPr>
            <w:tcW w:w="1338" w:type="dxa"/>
            <w:vMerge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Выгодное географическое расположение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Богатый природно-ресурсный потенциал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Наличие развитой транспортной системы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Достаточно развитая система финансово-кредитных учреждений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Наличие структуры поддержки предпринимательства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Наличие и дальнейшее развитие сотрудничества с организациями на условиях социального партнерства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Наименьший уровень регистрируемой безработицы в республике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Наличие учреждений культуры, физкультуры и спорта, образования, в том числе средних профессиональных и высших учебных заведений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Богатый историко-культурный потенциал, наличие музеев, коллективных объектов размещения туристов, объектов общественного питания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</w:p>
        </w:tc>
        <w:tc>
          <w:tcPr>
            <w:tcW w:w="396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Неустойчивая ситуация в ряде производств, заброшенность производственных территорий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Высокая стоимость жилья             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Наличие аварийного жилья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Миграционный отток экономически активного населения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Дефицит квалифицированных кадров, профессиональные диспропорции спроса и предложения на рынке труда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Недостаточный уровень использования культурно-исторического потенциала муниципального образования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Рост объемов образования и накопления отходов производства и потребления, наличие несанкционированных свалок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857986">
              <w:rPr>
                <w:rFonts w:eastAsiaTheme="minorEastAsia"/>
              </w:rPr>
              <w:t>Рискованное земледелие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</w:p>
        </w:tc>
      </w:tr>
      <w:tr w:rsidR="003000CA" w:rsidRPr="003000CA" w:rsidTr="00E2197E">
        <w:tc>
          <w:tcPr>
            <w:tcW w:w="1338" w:type="dxa"/>
            <w:vMerge w:val="restart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Внешние факторы</w:t>
            </w:r>
          </w:p>
        </w:tc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Возможности</w:t>
            </w:r>
          </w:p>
        </w:tc>
        <w:tc>
          <w:tcPr>
            <w:tcW w:w="396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Угрозы</w:t>
            </w:r>
          </w:p>
        </w:tc>
      </w:tr>
      <w:tr w:rsidR="003000CA" w:rsidRPr="003000CA" w:rsidTr="00E2197E">
        <w:tc>
          <w:tcPr>
            <w:tcW w:w="1338" w:type="dxa"/>
            <w:vMerge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rPr>
                <w:rFonts w:eastAsiaTheme="minorEastAsia"/>
              </w:rPr>
            </w:pPr>
          </w:p>
        </w:tc>
        <w:tc>
          <w:tcPr>
            <w:tcW w:w="411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Привлечение средств из вышестоящих бюджетов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Расселение аварийного жилищного фонда с участием средств публично-правовой компании «Фонд развития территорий»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Наличие спроса на туристические услуги </w:t>
            </w:r>
          </w:p>
        </w:tc>
        <w:tc>
          <w:tcPr>
            <w:tcW w:w="396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Нестабильная геополитическая обстановка, санкции против Российской Федерации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Снижение спроса на топливные ресурсы, нефтепродукты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Постоянный рост цен на коммунальные услуги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Риски возникновения чрезвычайных ситуаций природного и техногенного характера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Высокие процентные ставки за кредиты</w:t>
            </w:r>
          </w:p>
          <w:p w:rsidR="003000CA" w:rsidRPr="003000CA" w:rsidRDefault="003000CA" w:rsidP="00857986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ascii="Calibri" w:eastAsiaTheme="minorEastAsia" w:hAnsi="Calibri" w:cs="Calibri"/>
          <w:sz w:val="22"/>
          <w:szCs w:val="22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ascii="Calibri" w:eastAsiaTheme="minorEastAsia" w:hAnsi="Calibri" w:cs="Calibri"/>
          <w:sz w:val="22"/>
          <w:szCs w:val="22"/>
        </w:rPr>
      </w:pPr>
    </w:p>
    <w:p w:rsidR="003000CA" w:rsidRPr="003000CA" w:rsidRDefault="003000CA" w:rsidP="003000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Вышеуказанные факторы оказывают как положительное, так и отрицательное влияние на развитие производственной системы, малого и среднего предпринимательства, эффективность управления, безопасность жизнедеятельности и комфортность проживания населения муниципального образования.</w:t>
      </w:r>
    </w:p>
    <w:p w:rsidR="003000CA" w:rsidRPr="003000CA" w:rsidRDefault="003000CA" w:rsidP="003000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II. СТРАТЕГИЧЕСКИЕ ПРИОРИТЕТЫ, ЦЕЛИ, ЗАДАЧИ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 xml:space="preserve">СОЦИАЛЬНО-ЭКОНОМИЧЕСКОГО РАЗВИТИЯ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>МУНИЦИПАЛЬНОГО ОКРУГА «УХТА»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spacing w:val="-2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1. Стратегические установки социально-экономического развития муниципального образования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color w:val="000000"/>
          <w:sz w:val="24"/>
          <w:szCs w:val="24"/>
        </w:rPr>
      </w:pPr>
      <w:r w:rsidRPr="003000CA">
        <w:rPr>
          <w:color w:val="000000"/>
          <w:sz w:val="24"/>
          <w:szCs w:val="24"/>
        </w:rPr>
        <w:t>Ухта обладает совокупностью значительных конкурентных преимуще</w:t>
      </w:r>
      <w:proofErr w:type="gramStart"/>
      <w:r w:rsidRPr="003000CA">
        <w:rPr>
          <w:color w:val="000000"/>
          <w:sz w:val="24"/>
          <w:szCs w:val="24"/>
        </w:rPr>
        <w:t>ств дл</w:t>
      </w:r>
      <w:proofErr w:type="gramEnd"/>
      <w:r w:rsidRPr="003000CA">
        <w:rPr>
          <w:color w:val="000000"/>
          <w:sz w:val="24"/>
          <w:szCs w:val="24"/>
        </w:rPr>
        <w:t xml:space="preserve">я привлечения инвестиций, таких как: выгодное географическое расположение, богатый природно-ресурсный потенциал, наличие развитой транспортной системы, достаточно </w:t>
      </w:r>
      <w:r w:rsidRPr="003000CA">
        <w:rPr>
          <w:color w:val="000000"/>
          <w:sz w:val="24"/>
          <w:szCs w:val="24"/>
        </w:rPr>
        <w:lastRenderedPageBreak/>
        <w:t xml:space="preserve">развитая система финансово-кредитных учреждений, наличие структуры поддержки предпринимательства, высших учебных заведений, учебных заведений среднего профессионального образования.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В муниципальном округе «Ухта» развиты все отрасли экономики (промышленность, торговля и общественное питание, транспорт, строительство, наука и прочие), сосредоточено все республиканское производство топочного мазута, автомобильного бензина и строительного кирпича. Ухта является родиной первой российской нефти.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color w:val="000000"/>
          <w:sz w:val="24"/>
          <w:szCs w:val="24"/>
        </w:rPr>
      </w:pPr>
      <w:r w:rsidRPr="003000CA">
        <w:rPr>
          <w:color w:val="000000"/>
          <w:sz w:val="24"/>
          <w:szCs w:val="24"/>
        </w:rPr>
        <w:t>Инвестирование является одним из важнейших источников экономического роста, модернизации отраслей экономики, социальной сферы и развития человеческого капитала. Основным условием ускорения экономического роста и главной задачей инвестиционной политики является совместная работа органов местного самоуправления</w:t>
      </w:r>
      <w:r w:rsidRPr="003000CA">
        <w:rPr>
          <w:rFonts w:eastAsiaTheme="minorEastAsia"/>
          <w:sz w:val="24"/>
          <w:szCs w:val="24"/>
        </w:rPr>
        <w:t xml:space="preserve"> муниципального округа «Ухта» с органами исполнительной власти Республики Коми</w:t>
      </w:r>
      <w:r w:rsidRPr="003000CA">
        <w:rPr>
          <w:color w:val="000000"/>
          <w:sz w:val="24"/>
          <w:szCs w:val="24"/>
        </w:rPr>
        <w:t>, бизнеса и общества по повышению предпринимательской активности, улучшению инвестиционного климата. Крупные организации топливно-энергетического комплекса стремятся к оптимизации и адаптации к меняющимся экономическим условиям.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Возможными точками роста являются нефтегазовые проекты, проекты по производству высококачественных строительных материалов, переработке твердых коммунальных отходов на полигонах, а также в сфере сельского хозяйства.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Перечень наиболее крупных инвестиционных проектов, реализуемых (планируемых к реализации) на территории муниципального образования, представлен в приложении 1. Перечень инвестиционных проектов одобрен на </w:t>
      </w:r>
      <w:r w:rsidRPr="003000CA">
        <w:rPr>
          <w:rFonts w:eastAsia="Calibri"/>
          <w:sz w:val="24"/>
          <w:szCs w:val="24"/>
          <w:lang w:eastAsia="en-US"/>
        </w:rPr>
        <w:t>заседании Координационного совета по малому и среднему предпринимательству при главе муниципального округа «Ухта» Республики Коми - руководителе администрации.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Определены следующие стратегические установки социально-экономического развития муниципального образования на период до 2035 года: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Миссия муниципального округа «Ухта» - муниципальное образование с богатыми человеческими и природными ресурсами, научно-образовательным потенциалом, с комфортными условиями для жизни населения.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>Главной стратегической целью социально-экономического развития муниципального образования является повышение качества жизни населения за счет создания комфортной среды проживания и обеспечения устойчивого экономического роста.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2. Приоритеты, цели и задачи социально-экономического развития муниципального округа «Ухта»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Стратегические приоритеты, цели развития муниципального образования определены, руководствуясь стратегией социально-экономического развития Республики Коми на период до 2035 года, исходя из результатов SWOT-анализа, основываясь на стратегическом выборе (миссии) муниципального образования.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Достижение главной стратегической цели будет осуществляться, в том числе посредством реализации муниципальных программ. В связи с этим для формирования муниципальных программ, в рамках полномочий органов местного самоуправления, определены задачи и основные направления решения задач. 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Приоритет 1. Человеческий капитал: динамично развивающийся человеческий капитал за счет повышения качества образования, развития культурного потенциала, совершенствования системы физической культуры и спорта на территории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Стратегической целью и основными задачами приоритета «Человеческий капитал» являются: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Цель - развитие социальной сферы и обеспечение социальной стабильности муниципального округа «Ухта».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Задачи по ее реализации: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 xml:space="preserve">1. Повышение доступности, качества и эффективности системы образования с учетом </w:t>
      </w:r>
      <w:r w:rsidRPr="003000CA">
        <w:rPr>
          <w:rFonts w:eastAsiaTheme="minorEastAsia"/>
          <w:sz w:val="24"/>
          <w:szCs w:val="24"/>
        </w:rPr>
        <w:lastRenderedPageBreak/>
        <w:t>потребностей населения муниципального образования.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обеспечение доступности качественного дошкольного и общего образования;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создание благоприятных условий для развития и жизнедеятельности детей и молодежи и их успешной адаптации к современным условиям жизни.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2. Развитие культурного потенциала, сохранение культурного наследия и гармонизация культурной жизни населения муниципального образования, а также развитие туризма и народных художественных промыслов.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укрепление и модернизация материально-технической базы объектов сферы культуры;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создание условий для реализации мер, направленных на гармонизацию межнациональных (межэтнических) отношений и на сохранение и поддержку языков народов, проживающих на территории муниципального образования;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повышение эффективности деятельности учреждений культуры;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содействие развитию туризма, сохранению объектов культурного наследия и участие в сохранении, возрождении и развитии народных художественных промыслов и ремесел.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3. Совершенствование системы физической культуры и спорта, направленной на укрепление здоровья, улучшение качества жизни населения и развитие массового спорта.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обеспечение населения муниципального образования возможностями для удовлетворения потребностей в занятиях физкультурой и спортом;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вовлечение всех категорий населения муниципального округа «Ухта» в массовые физкультурные и спортивные мероприятия.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4. Оказание социальной поддержки гражданам.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предоставление дополнительных мер социальной поддержки отдельным категориям граждан;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совершенствование системы поддержки социально ориентированных некоммерческих организаций;</w:t>
      </w:r>
    </w:p>
    <w:p w:rsidR="003000CA" w:rsidRPr="003000CA" w:rsidRDefault="003000CA" w:rsidP="003000CA">
      <w:pPr>
        <w:widowControl w:val="0"/>
        <w:tabs>
          <w:tab w:val="left" w:pos="0"/>
          <w:tab w:val="left" w:pos="567"/>
        </w:tabs>
        <w:autoSpaceDE w:val="0"/>
        <w:autoSpaceDN w:val="0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ab/>
        <w:t>создание условий, способствующих интеграции инвалидов в общество.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Приоритет 2. Экономика - создание конкурентоспособной экономики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Стратегической целью и основными задачами по основному направлению «Экономика» являются: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Цель - содействие росту экономической активности в муниципальном образовании.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Задачи по ее реализации: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1. Создание благоприятных условий для устойчивого экономического развития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развитие системы стратегического планирования социально-экономического развития муниципального округа «Ухта»;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развитие малого и среднего предпринимательства;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улучшение инвестиционной привлекательности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2. Создание условий для удовлетворения потребностей населения в качественном жилье и жилищно-коммунальных услугах.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улучшение жилищных условий граждан;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содержание муниципального жилищного фонда;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организация работы по обеспечению населения коммунальными и отдельными бытовыми услугами.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b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Приоритет 3. Территория проживания - это муниципальное образование с рациональным и эффективно используемым комфортным пространством жизнедеятельности населения за счет повышения уровня безопасности жизнедеятельности населения, благоустройства территории муниципального образования, экологической безопасности.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Стратегической целью и основными задачами по основному направлению «Территория проживания» являются: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Цель - обеспечение безопасных и комфортных условий для жизнедеятельности населения муниципального округа «Ухта».</w:t>
      </w:r>
    </w:p>
    <w:p w:rsidR="003000CA" w:rsidRPr="003000CA" w:rsidRDefault="003000CA" w:rsidP="003000CA">
      <w:pPr>
        <w:widowControl w:val="0"/>
        <w:autoSpaceDE w:val="0"/>
        <w:autoSpaceDN w:val="0"/>
        <w:spacing w:before="22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Задачи по ее реализации: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1. Создание надежной дорожной инфраструктуры и обеспечение потребности населения в качественных и доступных транспортных услугах.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в границах муниципального образования;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развитие сети автомобильных дорог;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содержание объектов дорожной инфраструктуры.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2. Повышение уровня благоустройства территории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обеспечение надлежащего состояния территорий муниципального образования;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развитие благоустройства на территории муниципального образования;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управление реализацией проектов благоустройства.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3. Содействие повышению уровня безопасности жизнедеятельности населения.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предотвращение угроз безопасности населения и территории муниципального образования;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повышение уровня экологической безопасности;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снижение количества лиц, погибших в результате дорожно-транспортных происшествий.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4. Содействие повышению уровня общественной безопасности.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обеспечение профилактических мер по снижению количества преступлений, повторных преступлений и иных правонарушений;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повышение качества и эффективности профилактики правонарушений среди несовершеннолетних;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принятие эффективных мер по сокращению уровня потребления алкоголя, наркотических и психотропных веществ населением;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профилактика распространения терроризма и экстремизма, в том числе противодействие идеологии терроризма.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Приоритет 4. Управление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Стратегической целью по приоритету «Управление» является - повышение экономической эффективности и качества управления совокупностью ресурсов системы муниципального управления.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Задачей по реализации цели является совершенствование системы муниципального управления.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Основными направлениями решения данной задачи станут: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повышение уровня эффективности и открытости деятельности органов местного самоуправления муниципального округа «Ухта», совершенствование системы предоставления муниципальных услуг;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совершенствование системы развития и эффективного использования кадрового потенциала в администрации муниципального округа «Ухта»;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lastRenderedPageBreak/>
        <w:t>обеспечение долгосрочной устойчивости бюджетной системы муниципального округа «Ухта»;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эффективное управление муниципальным имуществом и земельными ресурсами.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center"/>
        <w:outlineLvl w:val="1"/>
        <w:rPr>
          <w:rFonts w:eastAsiaTheme="minorEastAsia"/>
          <w:b/>
          <w:sz w:val="24"/>
          <w:szCs w:val="24"/>
        </w:rPr>
      </w:pPr>
      <w:r w:rsidRPr="003000CA">
        <w:rPr>
          <w:rFonts w:eastAsiaTheme="minorEastAsia"/>
          <w:b/>
          <w:sz w:val="24"/>
          <w:szCs w:val="24"/>
        </w:rPr>
        <w:t xml:space="preserve">III. ОСНОВНЫЕ МЕХАНИЗМЫ И ИСТОЧНИКИ РЕСУРСНОГО ОБЕСПЕЧЕНИЯ РЕАЛИЗАЦИИ СТРАТЕГИИ, ОЖИДАЕМЫЕ РЕЗУЛЬТАТЫ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 xml:space="preserve">Основными механизмами реализации Стратегии станут: 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разработка и корректировка муниципальных правовых актов муниципального округа «Ухта» с целью приведения в соответствие с целями, задачами и основными направлениями социально-экономического развития муниципального образования, определенными Стратегией;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разработка и реализация ежегодных планов мероприятий по реализации Стратегии;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разработка и реализация муниципальных программ с использованием проектного и процессного методов управления;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участие в реализации региональных проектов Республики Коми в рамках национальных  проектов посредством реализации мероприятий муниципальных программ;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реализация проектов </w:t>
      </w:r>
      <w:proofErr w:type="gramStart"/>
      <w:r w:rsidRPr="003000CA">
        <w:rPr>
          <w:rFonts w:eastAsiaTheme="minorEastAsia"/>
          <w:sz w:val="24"/>
          <w:szCs w:val="24"/>
        </w:rPr>
        <w:t>инициативного</w:t>
      </w:r>
      <w:proofErr w:type="gramEnd"/>
      <w:r w:rsidRPr="003000CA">
        <w:rPr>
          <w:rFonts w:eastAsiaTheme="minorEastAsia"/>
          <w:sz w:val="24"/>
          <w:szCs w:val="24"/>
        </w:rPr>
        <w:t xml:space="preserve"> бюджетирования;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реализация соглашений о социально-экономическом партнерстве между администрацией муниципального округа «Ухта» и организациями;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реализация (участие в реализации) планов, программ по социально-экономическому развитию муниципального образования.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Порядки по разработке, утверждению (одобрению), мониторингу реализации документов стратегического планирования муниципального округа «Ухта» утверждаются постановлениями администрации муниципального округа «Ухта». </w:t>
      </w:r>
    </w:p>
    <w:p w:rsidR="003000CA" w:rsidRPr="003000CA" w:rsidRDefault="003000CA" w:rsidP="003000CA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000CA">
        <w:rPr>
          <w:rFonts w:eastAsia="Calibri"/>
          <w:sz w:val="24"/>
          <w:szCs w:val="24"/>
          <w:lang w:eastAsia="en-US"/>
        </w:rPr>
        <w:t>Источниками ресурсного обеспечения реализации Стратегии станут средства местного бюджета и внебюджетные средства.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Сроки реализации Стратегии предусмотрены до 2035 года.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Реализация Стратегии будет осуществляться в рамках трёх этапов: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I этап - 2025-2027 гг.  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II этап - 2028-2030 гг.</w:t>
      </w:r>
    </w:p>
    <w:p w:rsidR="003000CA" w:rsidRPr="003000CA" w:rsidRDefault="003000CA" w:rsidP="003000CA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III этап - 2031-2035 гг.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00CA">
        <w:rPr>
          <w:rFonts w:eastAsiaTheme="minorHAnsi"/>
          <w:sz w:val="24"/>
          <w:szCs w:val="24"/>
          <w:lang w:eastAsia="en-US"/>
        </w:rPr>
        <w:t xml:space="preserve">Количественные и качественные результаты достижения целей Стратегии характеризуют целевые показатели (индикаторы) Стратегии, муниципальных программ, планов, программ по социально-экономическому развитию муниципального образования. </w:t>
      </w:r>
    </w:p>
    <w:p w:rsidR="003000CA" w:rsidRPr="003000CA" w:rsidRDefault="003000CA" w:rsidP="003000C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3000CA">
        <w:rPr>
          <w:rFonts w:eastAsiaTheme="minorHAnsi"/>
          <w:sz w:val="24"/>
          <w:szCs w:val="24"/>
          <w:lang w:eastAsia="en-US"/>
        </w:rPr>
        <w:t xml:space="preserve">Целевые </w:t>
      </w:r>
      <w:hyperlink w:anchor="P1079">
        <w:r w:rsidRPr="003000CA">
          <w:rPr>
            <w:rFonts w:eastAsiaTheme="minorHAnsi"/>
            <w:sz w:val="24"/>
            <w:szCs w:val="24"/>
            <w:lang w:eastAsia="en-US"/>
          </w:rPr>
          <w:t>показатели</w:t>
        </w:r>
      </w:hyperlink>
      <w:r w:rsidRPr="003000CA">
        <w:rPr>
          <w:rFonts w:eastAsiaTheme="minorHAnsi"/>
          <w:sz w:val="24"/>
          <w:szCs w:val="24"/>
          <w:lang w:eastAsia="en-US"/>
        </w:rPr>
        <w:t xml:space="preserve"> (индикаторы) Стратегии, в том числе рекомендуемые для включения в стратегии социально-экономического развития муниципальных образований в Республике Коми Приказом Министерства экономики Республики Коми «Об утверждении рекомендаций по разработке, корректировке, осуществлению мониторинга и контроля реализации стратегий социально-экономического развития муниципальных образований в Республике Коми», в разрезе основных приоритетов приведены в приложении 2. 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1C528C" w:rsidRDefault="001C528C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7C0412" w:rsidRPr="003000CA" w:rsidRDefault="007C0412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lastRenderedPageBreak/>
        <w:t>Приложение 1</w:t>
      </w:r>
      <w:bookmarkStart w:id="2" w:name="P808"/>
      <w:bookmarkEnd w:id="2"/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ПЕРЕЧЕНЬ</w:t>
      </w: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>ИНВЕСТИЦИОННЫХ ПРОЕКТОВ, РЕАЛИЗУЕМЫХ (ПЛАНИРУЕМЫХ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proofErr w:type="gramStart"/>
      <w:r w:rsidRPr="003000CA">
        <w:rPr>
          <w:rFonts w:eastAsiaTheme="minorEastAsia"/>
          <w:sz w:val="24"/>
          <w:szCs w:val="24"/>
        </w:rPr>
        <w:t>К РЕАЛИЗАЦИИ) НА ТЕРРИТОРИИ МУНИЦИПАЛЬНОГО ОКРУГА «УХТА»</w:t>
      </w:r>
      <w:proofErr w:type="gramEnd"/>
    </w:p>
    <w:p w:rsidR="003000CA" w:rsidRPr="003000CA" w:rsidRDefault="003000CA" w:rsidP="003000CA">
      <w:pPr>
        <w:widowControl w:val="0"/>
        <w:autoSpaceDE w:val="0"/>
        <w:autoSpaceDN w:val="0"/>
        <w:jc w:val="right"/>
        <w:rPr>
          <w:rFonts w:eastAsiaTheme="minorEastAsia"/>
          <w:b/>
          <w:sz w:val="22"/>
          <w:szCs w:val="22"/>
        </w:rPr>
      </w:pP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22"/>
          <w:szCs w:val="22"/>
        </w:rPr>
      </w:pPr>
    </w:p>
    <w:tbl>
      <w:tblPr>
        <w:tblW w:w="935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5103"/>
        <w:gridCol w:w="1559"/>
      </w:tblGrid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proofErr w:type="gramStart"/>
            <w:r w:rsidRPr="003000CA">
              <w:rPr>
                <w:rFonts w:eastAsiaTheme="minorEastAsia"/>
              </w:rPr>
              <w:t>п</w:t>
            </w:r>
            <w:proofErr w:type="gramEnd"/>
            <w:r w:rsidRPr="003000CA">
              <w:rPr>
                <w:rFonts w:eastAsiaTheme="minorEastAsia"/>
              </w:rPr>
              <w:t>/п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№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Наименование инвестиционного проекта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Цель (описание)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Сроки реализации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1.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«Разработка </w:t>
            </w:r>
            <w:proofErr w:type="spellStart"/>
            <w:r w:rsidRPr="003000CA">
              <w:rPr>
                <w:rFonts w:eastAsiaTheme="minorEastAsia"/>
              </w:rPr>
              <w:t>Ярегского</w:t>
            </w:r>
            <w:proofErr w:type="spellEnd"/>
            <w:r w:rsidRPr="003000CA">
              <w:rPr>
                <w:rFonts w:eastAsiaTheme="minorEastAsia"/>
              </w:rPr>
              <w:t xml:space="preserve"> нефтяного месторождения»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(ООО «ЛУКОЙЛ-ПЕРМЬ»)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Разработка месторождения и достижение коэффициента извлечения нефти.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Инновационная направленность инвестиционного проекта: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увеличение протяженности подземных скважин с 300 до 800 м;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внедрение механизированной проходки горных выработок;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закачка пара для </w:t>
            </w:r>
            <w:proofErr w:type="spellStart"/>
            <w:r w:rsidRPr="003000CA">
              <w:rPr>
                <w:rFonts w:eastAsiaTheme="minorEastAsia"/>
              </w:rPr>
              <w:t>термошахтной</w:t>
            </w:r>
            <w:proofErr w:type="spellEnd"/>
            <w:r w:rsidRPr="003000CA">
              <w:rPr>
                <w:rFonts w:eastAsiaTheme="minorEastAsia"/>
              </w:rPr>
              <w:t xml:space="preserve"> разработки;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опытные работы по внедрению технологии </w:t>
            </w:r>
            <w:proofErr w:type="spellStart"/>
            <w:r w:rsidRPr="003000CA">
              <w:rPr>
                <w:rFonts w:eastAsiaTheme="minorEastAsia"/>
              </w:rPr>
              <w:t>термогравитационного</w:t>
            </w:r>
            <w:proofErr w:type="spellEnd"/>
            <w:r w:rsidRPr="003000CA">
              <w:rPr>
                <w:rFonts w:eastAsiaTheme="minorEastAsia"/>
              </w:rPr>
              <w:t xml:space="preserve"> дренирования пласта в системе горных скважин, пробуренных с поверхности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2004-2054 гг.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trike/>
              </w:rPr>
            </w:pP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2.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«Создание технологического комплекса по производству материалов, получаемых в результате утилизации отходов производства»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(ООО «Природа-Коми»)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Переработка вторичного сырья с целью получения востребованной продукции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2023-2027 гг.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3.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объекта обращения с твердыми коммунальными отходами (ТКО), включающего в себя мусоросортировочный комплекс, полигон ТКО и линию компостирования 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Снижение полигонного захоронения и 100-процентная обработка отходов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 2026-2028 гг.</w:t>
            </w:r>
            <w:r w:rsidRPr="003000C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4.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объездной дороги от проспекта </w:t>
            </w:r>
            <w:r w:rsidRPr="003000CA">
              <w:rPr>
                <w:rFonts w:eastAsiaTheme="minorEastAsia"/>
              </w:rPr>
              <w:br/>
              <w:t xml:space="preserve">А.И. </w:t>
            </w:r>
            <w:proofErr w:type="spellStart"/>
            <w:r w:rsidRPr="003000CA">
              <w:rPr>
                <w:rFonts w:eastAsiaTheme="minorEastAsia"/>
              </w:rPr>
              <w:t>Зерюнова</w:t>
            </w:r>
            <w:proofErr w:type="spellEnd"/>
            <w:r w:rsidRPr="003000CA">
              <w:rPr>
                <w:rFonts w:eastAsiaTheme="minorEastAsia"/>
              </w:rPr>
              <w:t xml:space="preserve"> до автодороги Сыктывкар - Ухта 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Обеспечение дорогой, соединяющей IV и VI микрорайоны с городом, разгрузка набережной Газовиков, где функционирует зона отдыха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2028 г.</w:t>
            </w:r>
            <w:r w:rsidRPr="003000C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5.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уличной дорожной сети индивидуальной жилой застройки пст Веселый Кут 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Развитие улично-дорожной сети в зонах жилой застройки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2027-2028 гг.</w:t>
            </w:r>
            <w:r w:rsidRPr="003000C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6.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спортивно-культурного комплекса в городе Ухта (ООО «Газпром </w:t>
            </w:r>
            <w:proofErr w:type="spellStart"/>
            <w:r w:rsidRPr="003000CA">
              <w:rPr>
                <w:rFonts w:eastAsiaTheme="minorEastAsia"/>
              </w:rPr>
              <w:t>трансгаз</w:t>
            </w:r>
            <w:proofErr w:type="spellEnd"/>
            <w:r w:rsidRPr="003000CA">
              <w:rPr>
                <w:rFonts w:eastAsiaTheme="minorEastAsia"/>
              </w:rPr>
              <w:t xml:space="preserve"> Ухта»)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современного спортивно-культурного комплекса для занятия спортом 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Сроки  не определены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7.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средней </w:t>
            </w:r>
            <w:r w:rsidRPr="003000CA">
              <w:rPr>
                <w:rFonts w:eastAsiaTheme="minorEastAsia"/>
              </w:rPr>
              <w:lastRenderedPageBreak/>
              <w:t xml:space="preserve">общеобразовательной школы 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lastRenderedPageBreak/>
              <w:t xml:space="preserve">Строительство средней общеобразовательной школы в </w:t>
            </w:r>
            <w:r w:rsidRPr="003000CA">
              <w:rPr>
                <w:rFonts w:eastAsiaTheme="minorEastAsia"/>
                <w:lang w:val="en-US"/>
              </w:rPr>
              <w:lastRenderedPageBreak/>
              <w:t>VIII</w:t>
            </w:r>
            <w:r w:rsidRPr="003000CA">
              <w:rPr>
                <w:rFonts w:eastAsiaTheme="minorEastAsia"/>
              </w:rPr>
              <w:t xml:space="preserve"> квартале Северо-Западной части Центрального планировочного района г. Ухты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lastRenderedPageBreak/>
              <w:t>2028 г.</w:t>
            </w:r>
            <w:r w:rsidRPr="003000C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lastRenderedPageBreak/>
              <w:t>8.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животноводческого комплекса, </w:t>
            </w:r>
            <w:r w:rsidRPr="003000CA">
              <w:rPr>
                <w:rFonts w:eastAsiaTheme="minorEastAsia"/>
                <w:lang w:val="en-US"/>
              </w:rPr>
              <w:t>I</w:t>
            </w:r>
            <w:r w:rsidRPr="003000CA">
              <w:rPr>
                <w:rFonts w:eastAsiaTheme="minorEastAsia"/>
              </w:rPr>
              <w:t xml:space="preserve"> этап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(ООО «Племхоз Ухта  - 97», Управляющая организация АО «АГРОКОМПЛЕКС»)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Строительство коровника на 600 голов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2026-2030 гг. </w:t>
            </w:r>
            <w:r w:rsidRPr="003000CA">
              <w:rPr>
                <w:rFonts w:eastAsiaTheme="minorEastAsia"/>
                <w:vertAlign w:val="superscript"/>
              </w:rPr>
              <w:t>1)</w:t>
            </w:r>
          </w:p>
        </w:tc>
      </w:tr>
      <w:tr w:rsidR="003000CA" w:rsidRPr="003000CA" w:rsidTr="00E2197E">
        <w:tc>
          <w:tcPr>
            <w:tcW w:w="426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9. </w:t>
            </w:r>
          </w:p>
        </w:tc>
        <w:tc>
          <w:tcPr>
            <w:tcW w:w="2268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 xml:space="preserve">Строительство животноводческого комплекса, </w:t>
            </w:r>
            <w:r w:rsidRPr="003000CA">
              <w:rPr>
                <w:rFonts w:eastAsiaTheme="minorEastAsia"/>
                <w:lang w:val="en-US"/>
              </w:rPr>
              <w:t>II</w:t>
            </w:r>
            <w:r w:rsidRPr="003000CA">
              <w:rPr>
                <w:rFonts w:eastAsiaTheme="minorEastAsia"/>
              </w:rPr>
              <w:t xml:space="preserve"> этап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(ООО «Племхоз Ухта  - 97», Управляющая организация АО «АГРОКОМПЛЕКС»)</w:t>
            </w:r>
          </w:p>
        </w:tc>
        <w:tc>
          <w:tcPr>
            <w:tcW w:w="510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Строительство телятника на 600 голов</w:t>
            </w:r>
          </w:p>
        </w:tc>
        <w:tc>
          <w:tcPr>
            <w:tcW w:w="155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3000CA">
              <w:rPr>
                <w:rFonts w:eastAsiaTheme="minorEastAsia"/>
              </w:rPr>
              <w:t>2028-2035 гг.</w:t>
            </w:r>
            <w:r w:rsidRPr="003000CA">
              <w:rPr>
                <w:rFonts w:eastAsiaTheme="minorEastAsia"/>
                <w:vertAlign w:val="superscript"/>
              </w:rPr>
              <w:t xml:space="preserve"> 1)</w:t>
            </w:r>
          </w:p>
        </w:tc>
      </w:tr>
    </w:tbl>
    <w:p w:rsidR="003000CA" w:rsidRPr="003000CA" w:rsidRDefault="003000CA" w:rsidP="003000CA">
      <w:pPr>
        <w:widowControl w:val="0"/>
        <w:autoSpaceDE w:val="0"/>
        <w:autoSpaceDN w:val="0"/>
        <w:ind w:left="-284"/>
        <w:rPr>
          <w:rFonts w:eastAsiaTheme="minorEastAsia"/>
        </w:rPr>
      </w:pPr>
    </w:p>
    <w:p w:rsidR="003000CA" w:rsidRPr="003000CA" w:rsidRDefault="003000CA" w:rsidP="003000CA">
      <w:pPr>
        <w:widowControl w:val="0"/>
        <w:autoSpaceDE w:val="0"/>
        <w:autoSpaceDN w:val="0"/>
        <w:ind w:left="-284"/>
        <w:rPr>
          <w:rFonts w:eastAsiaTheme="minorEastAsia"/>
        </w:rPr>
      </w:pPr>
    </w:p>
    <w:p w:rsidR="003000CA" w:rsidRPr="003000CA" w:rsidRDefault="003000CA" w:rsidP="003000CA">
      <w:pPr>
        <w:widowControl w:val="0"/>
        <w:autoSpaceDE w:val="0"/>
        <w:autoSpaceDN w:val="0"/>
        <w:ind w:left="-284"/>
        <w:rPr>
          <w:rFonts w:eastAsiaTheme="minorEastAsia"/>
        </w:rPr>
      </w:pPr>
      <w:r w:rsidRPr="003000CA">
        <w:rPr>
          <w:rFonts w:eastAsiaTheme="minorEastAsia"/>
          <w:vertAlign w:val="superscript"/>
        </w:rPr>
        <w:t xml:space="preserve">1)     </w:t>
      </w:r>
      <w:r w:rsidRPr="003000CA">
        <w:rPr>
          <w:rFonts w:eastAsiaTheme="minorEastAsia"/>
        </w:rPr>
        <w:t>указаны прогнозные сроки, которые по мере разработки проектно-сметной документации и определения финансовых источников будут уточняться</w:t>
      </w: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</w:rPr>
      </w:pP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</w:rPr>
        <w:sectPr w:rsidR="003000CA" w:rsidRPr="003000CA" w:rsidSect="003000CA">
          <w:footerReference w:type="default" r:id="rId18"/>
          <w:footerReference w:type="first" r:id="rId19"/>
          <w:pgSz w:w="11905" w:h="16838"/>
          <w:pgMar w:top="567" w:right="567" w:bottom="567" w:left="1701" w:header="0" w:footer="0" w:gutter="0"/>
          <w:cols w:space="720"/>
          <w:titlePg/>
          <w:docGrid w:linePitch="299"/>
        </w:sectPr>
      </w:pPr>
    </w:p>
    <w:p w:rsidR="003000CA" w:rsidRPr="003000CA" w:rsidRDefault="003000CA" w:rsidP="003000CA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lastRenderedPageBreak/>
        <w:t>Приложение 2</w:t>
      </w: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24"/>
          <w:szCs w:val="24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bookmarkStart w:id="3" w:name="P1079"/>
      <w:bookmarkEnd w:id="3"/>
      <w:r w:rsidRPr="003000CA">
        <w:rPr>
          <w:rFonts w:eastAsiaTheme="minorEastAsia"/>
          <w:sz w:val="24"/>
          <w:szCs w:val="24"/>
        </w:rPr>
        <w:t>ЦЕЛЕВЫЕ ПОКАЗАТЕЛИ</w:t>
      </w: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 xml:space="preserve">СТРАТЕГИИ СОЦИАЛЬНО-ЭКОНОМИЧЕСКОГО РАЗВИТИЯ </w:t>
      </w: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</w:rPr>
      </w:pPr>
      <w:r w:rsidRPr="003000CA">
        <w:rPr>
          <w:rFonts w:eastAsiaTheme="minorEastAsia"/>
          <w:sz w:val="24"/>
          <w:szCs w:val="24"/>
        </w:rPr>
        <w:t>МУНИЦИПАЛЬНОГО ОКРУГА «УХТА» НА ПЕРИОД ДО 2035 ГОДА</w:t>
      </w:r>
    </w:p>
    <w:p w:rsidR="003000CA" w:rsidRPr="003000CA" w:rsidRDefault="003000CA" w:rsidP="003000CA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</w:rPr>
      </w:pPr>
    </w:p>
    <w:tbl>
      <w:tblPr>
        <w:tblW w:w="15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30"/>
        <w:gridCol w:w="873"/>
        <w:gridCol w:w="849"/>
        <w:gridCol w:w="11"/>
        <w:gridCol w:w="839"/>
        <w:gridCol w:w="11"/>
        <w:gridCol w:w="841"/>
        <w:gridCol w:w="10"/>
        <w:gridCol w:w="841"/>
        <w:gridCol w:w="9"/>
        <w:gridCol w:w="843"/>
        <w:gridCol w:w="8"/>
        <w:gridCol w:w="985"/>
        <w:gridCol w:w="7"/>
        <w:gridCol w:w="844"/>
        <w:gridCol w:w="6"/>
        <w:gridCol w:w="851"/>
        <w:gridCol w:w="855"/>
        <w:gridCol w:w="855"/>
        <w:gridCol w:w="853"/>
        <w:gridCol w:w="851"/>
        <w:gridCol w:w="807"/>
        <w:gridCol w:w="807"/>
      </w:tblGrid>
      <w:tr w:rsidR="003000CA" w:rsidRPr="003000CA" w:rsidTr="00E2197E">
        <w:trPr>
          <w:tblHeader/>
        </w:trPr>
        <w:tc>
          <w:tcPr>
            <w:tcW w:w="2330" w:type="dxa"/>
            <w:vMerge w:val="restart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Целевой индикатор</w:t>
            </w:r>
          </w:p>
        </w:tc>
        <w:tc>
          <w:tcPr>
            <w:tcW w:w="873" w:type="dxa"/>
            <w:vMerge w:val="restart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Единицы измерения</w:t>
            </w:r>
          </w:p>
        </w:tc>
        <w:tc>
          <w:tcPr>
            <w:tcW w:w="2551" w:type="dxa"/>
            <w:gridSpan w:val="5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Фактическое значение</w:t>
            </w:r>
          </w:p>
        </w:tc>
        <w:tc>
          <w:tcPr>
            <w:tcW w:w="2696" w:type="dxa"/>
            <w:gridSpan w:val="6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I этап </w:t>
            </w:r>
          </w:p>
        </w:tc>
        <w:tc>
          <w:tcPr>
            <w:tcW w:w="2563" w:type="dxa"/>
            <w:gridSpan w:val="5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II этап </w:t>
            </w:r>
          </w:p>
        </w:tc>
        <w:tc>
          <w:tcPr>
            <w:tcW w:w="4173" w:type="dxa"/>
            <w:gridSpan w:val="5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III этап </w:t>
            </w:r>
          </w:p>
        </w:tc>
      </w:tr>
      <w:tr w:rsidR="003000CA" w:rsidRPr="003000CA" w:rsidTr="00E2197E">
        <w:trPr>
          <w:trHeight w:val="361"/>
          <w:tblHeader/>
        </w:trPr>
        <w:tc>
          <w:tcPr>
            <w:tcW w:w="2330" w:type="dxa"/>
            <w:vMerge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73" w:type="dxa"/>
            <w:vMerge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2022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2023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2024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(оценка)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2025 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2026 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2027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2028 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2029 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2030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2031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2032 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2033 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ind w:left="-346" w:firstLine="346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2034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2035</w:t>
            </w:r>
          </w:p>
        </w:tc>
      </w:tr>
      <w:tr w:rsidR="003000CA" w:rsidRPr="003000CA" w:rsidTr="00E2197E">
        <w:tc>
          <w:tcPr>
            <w:tcW w:w="15186" w:type="dxa"/>
            <w:gridSpan w:val="23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Приоритет 1. Человеческий капитал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1. Среднегодовая численность населения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человек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94,9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93,6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93,0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92,3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91,2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90,1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89,0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88,0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87,0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86,2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85,6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85,3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85,1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84,9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2. Естественный прирост, убыль</w:t>
            </w:r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t xml:space="preserve"> (-) </w:t>
            </w:r>
            <w:proofErr w:type="gramEnd"/>
            <w:r w:rsidRPr="003000CA">
              <w:rPr>
                <w:rFonts w:eastAsiaTheme="minorEastAsia"/>
                <w:sz w:val="18"/>
                <w:szCs w:val="18"/>
              </w:rPr>
              <w:t>населения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человек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-0,3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-0,3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-0,3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-0,3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07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-0,3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3. Миграционный прирост, убыль</w:t>
            </w:r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t xml:space="preserve"> (-) </w:t>
            </w:r>
            <w:proofErr w:type="gramEnd"/>
            <w:r w:rsidRPr="003000CA">
              <w:rPr>
                <w:rFonts w:eastAsiaTheme="minorEastAsia"/>
                <w:sz w:val="18"/>
                <w:szCs w:val="18"/>
              </w:rPr>
              <w:t>населения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человек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-1,0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-0,7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0,4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-0,6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-0,5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-0,4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-0,2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0,1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0,1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0,2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4. Уровень зарегистрированной безработицы 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0,53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0,31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0,20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0,25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0,30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5. Среднемесячная номинальная начисленная заработная плата одного работника организаций (без субъектов малого предпринимательства)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84,1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95,0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107,6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112,0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117,0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122,0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127,0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133,0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138,0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143,0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149,0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155,0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161,0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168,0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6. Доля детей в возрасте 1 - 6 лет, получающих дошкольную образовательную услугу и (или) услугу по их содержанию в муниципальных образовательных </w:t>
            </w:r>
            <w:r w:rsidRPr="003000CA">
              <w:rPr>
                <w:rFonts w:eastAsiaTheme="minorEastAsia"/>
                <w:sz w:val="18"/>
                <w:szCs w:val="18"/>
              </w:rPr>
              <w:lastRenderedPageBreak/>
              <w:t>учреждениях, в общей численности детей в возрасте 1 - 6 лет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%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95,3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96,0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7. Доля детей в возрасте от 5 до 18 лет, охваченных дополнительным образованием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87,3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98,2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80,3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80,6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82,0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82,5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83,0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83,5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84,0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84,2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84,4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84,6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85,0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8. Обеспеченность организациями культурно-досугового типа на 10 000 человек населения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единиц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1,5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1,7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1,7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1,8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9. Число посещений учреждений культуры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единиц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585,0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629,7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629,7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994,3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1104,8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1215,3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1325,7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1436,2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1657,2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1657,7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1658,2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1658,8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1659,3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spacing w:after="200"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1660,0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10. Мощность амбулаторно-поликлинических государственных учреждений на 10 тыс. человек населения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посещений в смену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364,3</w:t>
            </w:r>
          </w:p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370,3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322,0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317,0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310,0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305,0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302,0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300,0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299,0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289,0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289,0</w:t>
            </w:r>
          </w:p>
        </w:tc>
      </w:tr>
      <w:tr w:rsidR="003000CA" w:rsidRPr="003000CA" w:rsidTr="00E2197E">
        <w:tc>
          <w:tcPr>
            <w:tcW w:w="2330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11. Доля граждан, систематически занимающихся физической культурой и спортом</w:t>
            </w:r>
          </w:p>
        </w:tc>
        <w:tc>
          <w:tcPr>
            <w:tcW w:w="87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49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53,1</w:t>
            </w:r>
          </w:p>
        </w:tc>
        <w:tc>
          <w:tcPr>
            <w:tcW w:w="850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61,4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65,0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56,0</w:t>
            </w:r>
          </w:p>
        </w:tc>
        <w:tc>
          <w:tcPr>
            <w:tcW w:w="852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56,0</w:t>
            </w:r>
          </w:p>
        </w:tc>
        <w:tc>
          <w:tcPr>
            <w:tcW w:w="993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56,0</w:t>
            </w:r>
          </w:p>
        </w:tc>
        <w:tc>
          <w:tcPr>
            <w:tcW w:w="851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57" w:type="dxa"/>
            <w:gridSpan w:val="2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55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53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51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07" w:type="dxa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</w:tr>
      <w:tr w:rsidR="003000CA" w:rsidRPr="003000CA" w:rsidTr="00E2197E">
        <w:tc>
          <w:tcPr>
            <w:tcW w:w="15186" w:type="dxa"/>
            <w:gridSpan w:val="23"/>
          </w:tcPr>
          <w:p w:rsidR="003000CA" w:rsidRPr="003000CA" w:rsidRDefault="003000CA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Приоритет 2. Экономика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12. Уровень удовлетворенности населения жилищно-коммунальными услугами</w:t>
            </w:r>
          </w:p>
        </w:tc>
        <w:tc>
          <w:tcPr>
            <w:tcW w:w="873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 xml:space="preserve">% от числа </w:t>
            </w:r>
            <w:proofErr w:type="gramStart"/>
            <w:r w:rsidRPr="007C0412">
              <w:rPr>
                <w:rFonts w:eastAsiaTheme="minorEastAsia"/>
                <w:sz w:val="18"/>
                <w:szCs w:val="18"/>
              </w:rPr>
              <w:t>опрошенных</w:t>
            </w:r>
            <w:proofErr w:type="gramEnd"/>
          </w:p>
        </w:tc>
        <w:tc>
          <w:tcPr>
            <w:tcW w:w="849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60,8</w:t>
            </w:r>
          </w:p>
        </w:tc>
        <w:tc>
          <w:tcPr>
            <w:tcW w:w="850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60,1</w:t>
            </w:r>
          </w:p>
        </w:tc>
        <w:tc>
          <w:tcPr>
            <w:tcW w:w="852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1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62,0</w:t>
            </w:r>
          </w:p>
        </w:tc>
        <w:tc>
          <w:tcPr>
            <w:tcW w:w="852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65,0</w:t>
            </w:r>
          </w:p>
        </w:tc>
        <w:tc>
          <w:tcPr>
            <w:tcW w:w="993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66,0</w:t>
            </w:r>
          </w:p>
        </w:tc>
        <w:tc>
          <w:tcPr>
            <w:tcW w:w="851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67,00</w:t>
            </w:r>
          </w:p>
        </w:tc>
        <w:tc>
          <w:tcPr>
            <w:tcW w:w="857" w:type="dxa"/>
            <w:gridSpan w:val="2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68,0</w:t>
            </w:r>
          </w:p>
        </w:tc>
        <w:tc>
          <w:tcPr>
            <w:tcW w:w="855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69,0</w:t>
            </w:r>
          </w:p>
        </w:tc>
        <w:tc>
          <w:tcPr>
            <w:tcW w:w="855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853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851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807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72,0</w:t>
            </w:r>
          </w:p>
        </w:tc>
        <w:tc>
          <w:tcPr>
            <w:tcW w:w="807" w:type="dxa"/>
          </w:tcPr>
          <w:p w:rsidR="00F73685" w:rsidRPr="007C0412" w:rsidRDefault="00F73685" w:rsidP="00E2197E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7C0412">
              <w:rPr>
                <w:rFonts w:eastAsiaTheme="minorEastAsia"/>
                <w:sz w:val="18"/>
                <w:szCs w:val="18"/>
              </w:rPr>
              <w:t>72,0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13. Инвестиции в основной капитал (без субъектов малого </w:t>
            </w:r>
            <w:r w:rsidRPr="003000CA">
              <w:rPr>
                <w:rFonts w:eastAsiaTheme="minorEastAsia"/>
                <w:sz w:val="18"/>
                <w:szCs w:val="18"/>
              </w:rPr>
              <w:lastRenderedPageBreak/>
              <w:t>предпринимательства и объёма инвестиций, не наблюдаемых прямыми статистическими методами)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lastRenderedPageBreak/>
              <w:t>млн</w:t>
            </w:r>
            <w:proofErr w:type="gramEnd"/>
            <w:r w:rsidRPr="003000CA">
              <w:rPr>
                <w:rFonts w:eastAsiaTheme="minorEastAsia"/>
                <w:sz w:val="18"/>
                <w:szCs w:val="18"/>
              </w:rPr>
              <w:t xml:space="preserve"> рублей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25331,7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24809,6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29530,2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24000,0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24000,0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24000,0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24500,0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24500,0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26000,0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27000,0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29000,0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30000,0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32000,0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32000,0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14. Объем инвестиций в основной капитал (без субъектов малого предпринимательства и объёмов бюджетных инвестиций, инвестиций, не наблюдаемых прямыми статистическими методами) в расчете на одного жителя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265,2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255,7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312,3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258,7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261,8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265,0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273,9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277,2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297,5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311,8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337,4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350,5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374,8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375,5</w:t>
            </w:r>
          </w:p>
        </w:tc>
      </w:tr>
      <w:tr w:rsidR="00F73685" w:rsidRPr="003000CA" w:rsidTr="00E2197E">
        <w:tc>
          <w:tcPr>
            <w:tcW w:w="2330" w:type="dxa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15. 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873" w:type="dxa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t>млн</w:t>
            </w:r>
            <w:proofErr w:type="gramEnd"/>
            <w:r w:rsidRPr="003000CA">
              <w:rPr>
                <w:rFonts w:eastAsiaTheme="minorEastAsia"/>
                <w:sz w:val="18"/>
                <w:szCs w:val="18"/>
              </w:rPr>
              <w:t xml:space="preserve"> рублей</w:t>
            </w:r>
          </w:p>
        </w:tc>
        <w:tc>
          <w:tcPr>
            <w:tcW w:w="849" w:type="dxa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433010,6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418092,9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443418,4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420000,0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425000,0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425000,0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440000,0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440000,0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450000,0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450000,0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455000,0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460000,0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465000,0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480000,0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16. Число субъектов малого и среднего предпринимательства (без индивидуальных предпринимателей) в расчете на 10 тыс. человек населения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единицы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102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110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111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112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114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17. Доля прибыльных сельскохозяйственных </w:t>
            </w:r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t>организаций</w:t>
            </w:r>
            <w:proofErr w:type="gramEnd"/>
            <w:r w:rsidRPr="003000CA">
              <w:rPr>
                <w:rFonts w:eastAsiaTheme="minorEastAsia"/>
                <w:sz w:val="18"/>
                <w:szCs w:val="18"/>
              </w:rPr>
              <w:t xml:space="preserve"> в общем их числе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50,0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100,0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18. Объем производства </w:t>
            </w:r>
            <w:r w:rsidRPr="003000CA">
              <w:rPr>
                <w:rFonts w:eastAsiaTheme="minorEastAsia"/>
                <w:sz w:val="18"/>
                <w:szCs w:val="18"/>
              </w:rPr>
              <w:lastRenderedPageBreak/>
              <w:t>молока в хозяйствах всех категорий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тыс. тонн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4,9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4,7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5,2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5,4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5,9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 xml:space="preserve">19. Ввод в действие жилых домов 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тыс. кв. м общ. </w:t>
            </w:r>
            <w:proofErr w:type="spellStart"/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t>пл</w:t>
            </w:r>
            <w:proofErr w:type="spellEnd"/>
            <w:proofErr w:type="gramEnd"/>
            <w:r w:rsidRPr="003000CA">
              <w:rPr>
                <w:rFonts w:eastAsiaTheme="minorEastAsia"/>
                <w:sz w:val="18"/>
                <w:szCs w:val="18"/>
              </w:rPr>
              <w:t xml:space="preserve"> жилых помещений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4,6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7,1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9,3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10,8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9,1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7,6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11,1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7,6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4,8</w:t>
            </w:r>
          </w:p>
        </w:tc>
      </w:tr>
      <w:tr w:rsidR="00F73685" w:rsidRPr="003000CA" w:rsidTr="00E2197E">
        <w:tc>
          <w:tcPr>
            <w:tcW w:w="2330" w:type="dxa"/>
            <w:shd w:val="clear" w:color="auto" w:fill="FFFFFF" w:themeFill="background1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20. </w:t>
            </w:r>
            <w:proofErr w:type="gramStart"/>
            <w:r w:rsidRPr="003000CA">
              <w:rPr>
                <w:rFonts w:eastAsiaTheme="minorEastAsia"/>
                <w:sz w:val="18"/>
                <w:szCs w:val="1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873" w:type="dxa"/>
            <w:shd w:val="clear" w:color="auto" w:fill="FFFFFF" w:themeFill="background1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49" w:type="dxa"/>
            <w:shd w:val="clear" w:color="auto" w:fill="FFFFFF" w:themeFill="background1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2,94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3,27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3,46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3,99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3,35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4,35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00CA">
              <w:rPr>
                <w:rFonts w:eastAsiaTheme="minorHAnsi"/>
                <w:sz w:val="18"/>
                <w:szCs w:val="18"/>
                <w:lang w:eastAsia="en-US"/>
              </w:rPr>
              <w:t>4,68</w:t>
            </w:r>
          </w:p>
        </w:tc>
      </w:tr>
      <w:tr w:rsidR="00F73685" w:rsidRPr="003000CA" w:rsidTr="00E2197E">
        <w:tc>
          <w:tcPr>
            <w:tcW w:w="15186" w:type="dxa"/>
            <w:gridSpan w:val="23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Приоритет 3. Территория проживания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21. 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55,5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55,5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59,7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60,0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22. Объем загрязняющих веществ, отходящих от всех стационарных источников 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т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23,8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24,6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20,2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20,2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20,1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19,9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19,8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19,7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19,6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19,6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23. Число дорожно-транспортных </w:t>
            </w:r>
            <w:r w:rsidRPr="003000CA">
              <w:rPr>
                <w:rFonts w:eastAsiaTheme="minorEastAsia"/>
                <w:sz w:val="18"/>
                <w:szCs w:val="18"/>
              </w:rPr>
              <w:lastRenderedPageBreak/>
              <w:t>происшествий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116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124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115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140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138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137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136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135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134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135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133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133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24. Число погибших в  дорожно-транспортных происшествиях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человек</w:t>
            </w:r>
          </w:p>
        </w:tc>
        <w:tc>
          <w:tcPr>
            <w:tcW w:w="849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18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85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57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</w:t>
            </w:r>
          </w:p>
        </w:tc>
      </w:tr>
      <w:tr w:rsidR="00F73685" w:rsidRPr="003000CA" w:rsidTr="00E2197E">
        <w:tc>
          <w:tcPr>
            <w:tcW w:w="15186" w:type="dxa"/>
            <w:gridSpan w:val="23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Приоритет 4. Управление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86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2,27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2,46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2,69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99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2,93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26. Налоговые и неналоговые доходы бюджета муниципального образования (за исключением поступлений налоговых доходов по дополнительным нормативам отчислений) в расчете на одного жителя муниципального образования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тыс. рублей</w:t>
            </w:r>
          </w:p>
        </w:tc>
        <w:tc>
          <w:tcPr>
            <w:tcW w:w="86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14,9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18,6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20,9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21,3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24,2</w:t>
            </w:r>
          </w:p>
        </w:tc>
        <w:tc>
          <w:tcPr>
            <w:tcW w:w="99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25,2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25,5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25,8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26,1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26,3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26,5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26,6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26,7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26,7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 xml:space="preserve">27.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</w:t>
            </w:r>
            <w:r w:rsidRPr="003000CA">
              <w:rPr>
                <w:rFonts w:eastAsiaTheme="minorEastAsia"/>
                <w:sz w:val="18"/>
                <w:szCs w:val="18"/>
              </w:rPr>
              <w:lastRenderedPageBreak/>
              <w:t>муниципального образования (без учета субвенций)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%</w:t>
            </w:r>
          </w:p>
        </w:tc>
        <w:tc>
          <w:tcPr>
            <w:tcW w:w="86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50,4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55,3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56,3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56,5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56,6</w:t>
            </w:r>
          </w:p>
        </w:tc>
        <w:tc>
          <w:tcPr>
            <w:tcW w:w="99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56,7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56,8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56,9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57,1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57,2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57,3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57,4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57,4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lastRenderedPageBreak/>
              <w:t>28.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6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0,0</w:t>
            </w:r>
          </w:p>
        </w:tc>
      </w:tr>
      <w:tr w:rsidR="00F73685" w:rsidRPr="003000CA" w:rsidTr="00E2197E">
        <w:tc>
          <w:tcPr>
            <w:tcW w:w="2330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29. Уровень удовлетворенности деятельностью органов местного самоуправления муниципального округа  «Ухта»</w:t>
            </w:r>
          </w:p>
        </w:tc>
        <w:tc>
          <w:tcPr>
            <w:tcW w:w="87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%</w:t>
            </w:r>
          </w:p>
        </w:tc>
        <w:tc>
          <w:tcPr>
            <w:tcW w:w="86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72,4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45,8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47,00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41,0</w:t>
            </w:r>
          </w:p>
        </w:tc>
        <w:tc>
          <w:tcPr>
            <w:tcW w:w="851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41,5</w:t>
            </w:r>
          </w:p>
        </w:tc>
        <w:tc>
          <w:tcPr>
            <w:tcW w:w="992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42,0</w:t>
            </w:r>
          </w:p>
        </w:tc>
        <w:tc>
          <w:tcPr>
            <w:tcW w:w="850" w:type="dxa"/>
            <w:gridSpan w:val="2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42,5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43,0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43,5</w:t>
            </w:r>
          </w:p>
        </w:tc>
        <w:tc>
          <w:tcPr>
            <w:tcW w:w="855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44,0</w:t>
            </w:r>
          </w:p>
        </w:tc>
        <w:tc>
          <w:tcPr>
            <w:tcW w:w="853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44,5</w:t>
            </w:r>
          </w:p>
        </w:tc>
        <w:tc>
          <w:tcPr>
            <w:tcW w:w="851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45,0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45,5</w:t>
            </w:r>
          </w:p>
        </w:tc>
        <w:tc>
          <w:tcPr>
            <w:tcW w:w="807" w:type="dxa"/>
          </w:tcPr>
          <w:p w:rsidR="00F73685" w:rsidRPr="003000CA" w:rsidRDefault="00F73685" w:rsidP="003000CA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3000CA">
              <w:rPr>
                <w:rFonts w:eastAsiaTheme="minorEastAsia"/>
                <w:sz w:val="18"/>
                <w:szCs w:val="18"/>
              </w:rPr>
              <w:t>46,0</w:t>
            </w:r>
          </w:p>
        </w:tc>
      </w:tr>
    </w:tbl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18"/>
          <w:szCs w:val="18"/>
        </w:rPr>
      </w:pP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22"/>
          <w:szCs w:val="22"/>
        </w:rPr>
      </w:pPr>
    </w:p>
    <w:p w:rsidR="003000CA" w:rsidRPr="003000CA" w:rsidRDefault="003000CA" w:rsidP="003000CA">
      <w:pPr>
        <w:widowControl w:val="0"/>
        <w:autoSpaceDE w:val="0"/>
        <w:autoSpaceDN w:val="0"/>
        <w:rPr>
          <w:rFonts w:eastAsiaTheme="minorEastAsia"/>
          <w:sz w:val="22"/>
          <w:szCs w:val="22"/>
        </w:rPr>
      </w:pPr>
    </w:p>
    <w:p w:rsidR="003000CA" w:rsidRPr="003000CA" w:rsidRDefault="003000CA" w:rsidP="003000CA">
      <w:pPr>
        <w:widowControl w:val="0"/>
        <w:autoSpaceDE w:val="0"/>
        <w:autoSpaceDN w:val="0"/>
        <w:jc w:val="center"/>
        <w:rPr>
          <w:rFonts w:eastAsiaTheme="minorEastAsia"/>
          <w:b/>
          <w:sz w:val="22"/>
          <w:szCs w:val="22"/>
        </w:rPr>
      </w:pPr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3000CA" w:rsidRDefault="003000CA" w:rsidP="00F91F96">
      <w:pPr>
        <w:jc w:val="both"/>
        <w:rPr>
          <w:kern w:val="32"/>
          <w:sz w:val="26"/>
          <w:szCs w:val="26"/>
        </w:rPr>
      </w:pPr>
    </w:p>
    <w:p w:rsidR="00F07809" w:rsidRPr="00F91F96" w:rsidRDefault="00F07809" w:rsidP="00F91F96">
      <w:pPr>
        <w:jc w:val="both"/>
        <w:rPr>
          <w:kern w:val="32"/>
          <w:sz w:val="26"/>
          <w:szCs w:val="26"/>
        </w:rPr>
      </w:pPr>
    </w:p>
    <w:sectPr w:rsidR="00F07809" w:rsidRPr="00F91F96" w:rsidSect="003000C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7B3" w:rsidRDefault="00B267B3">
      <w:r>
        <w:separator/>
      </w:r>
    </w:p>
  </w:endnote>
  <w:endnote w:type="continuationSeparator" w:id="0">
    <w:p w:rsidR="00B267B3" w:rsidRDefault="00B2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4584331"/>
      <w:docPartObj>
        <w:docPartGallery w:val="Page Numbers (Bottom of Page)"/>
        <w:docPartUnique/>
      </w:docPartObj>
    </w:sdtPr>
    <w:sdtEndPr/>
    <w:sdtContent>
      <w:p w:rsidR="00896714" w:rsidRPr="00076655" w:rsidRDefault="00896714">
        <w:pPr>
          <w:pStyle w:val="af0"/>
          <w:jc w:val="right"/>
        </w:pPr>
        <w:r w:rsidRPr="00076655">
          <w:fldChar w:fldCharType="begin"/>
        </w:r>
        <w:r w:rsidRPr="00076655">
          <w:instrText>PAGE   \* MERGEFORMAT</w:instrText>
        </w:r>
        <w:r w:rsidRPr="00076655">
          <w:fldChar w:fldCharType="separate"/>
        </w:r>
        <w:r w:rsidR="000F2BB2">
          <w:rPr>
            <w:noProof/>
          </w:rPr>
          <w:t>33</w:t>
        </w:r>
        <w:r w:rsidRPr="00076655">
          <w:fldChar w:fldCharType="end"/>
        </w:r>
      </w:p>
    </w:sdtContent>
  </w:sdt>
  <w:p w:rsidR="00896714" w:rsidRDefault="0089671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941691"/>
      <w:docPartObj>
        <w:docPartGallery w:val="Page Numbers (Bottom of Page)"/>
        <w:docPartUnique/>
      </w:docPartObj>
    </w:sdtPr>
    <w:sdtEndPr/>
    <w:sdtContent>
      <w:p w:rsidR="00896714" w:rsidRPr="00233DC6" w:rsidRDefault="00896714">
        <w:pPr>
          <w:pStyle w:val="af0"/>
          <w:jc w:val="right"/>
        </w:pPr>
        <w:r w:rsidRPr="00233DC6">
          <w:fldChar w:fldCharType="begin"/>
        </w:r>
        <w:r w:rsidRPr="00233DC6">
          <w:instrText>PAGE   \* MERGEFORMAT</w:instrText>
        </w:r>
        <w:r w:rsidRPr="00233DC6">
          <w:fldChar w:fldCharType="separate"/>
        </w:r>
        <w:r w:rsidR="000F2BB2">
          <w:rPr>
            <w:noProof/>
          </w:rPr>
          <w:t>1</w:t>
        </w:r>
        <w:r w:rsidRPr="00233DC6">
          <w:fldChar w:fldCharType="end"/>
        </w:r>
      </w:p>
    </w:sdtContent>
  </w:sdt>
  <w:p w:rsidR="00896714" w:rsidRDefault="0089671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7B3" w:rsidRDefault="00B267B3">
      <w:r>
        <w:separator/>
      </w:r>
    </w:p>
  </w:footnote>
  <w:footnote w:type="continuationSeparator" w:id="0">
    <w:p w:rsidR="00B267B3" w:rsidRDefault="00B26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6446A4"/>
    <w:multiLevelType w:val="hybridMultilevel"/>
    <w:tmpl w:val="AB1864F6"/>
    <w:lvl w:ilvl="0" w:tplc="48B49E2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904C3AA2">
      <w:start w:val="1"/>
      <w:numFmt w:val="decimal"/>
      <w:lvlText w:val="%2)"/>
      <w:lvlJc w:val="left"/>
      <w:pPr>
        <w:ind w:left="202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9100CC"/>
    <w:multiLevelType w:val="hybridMultilevel"/>
    <w:tmpl w:val="5C64028E"/>
    <w:lvl w:ilvl="0" w:tplc="6A329A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136410"/>
    <w:multiLevelType w:val="hybridMultilevel"/>
    <w:tmpl w:val="4B50CBAC"/>
    <w:lvl w:ilvl="0" w:tplc="1A28EA4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C26046"/>
    <w:multiLevelType w:val="hybridMultilevel"/>
    <w:tmpl w:val="A0BA7DF8"/>
    <w:lvl w:ilvl="0" w:tplc="6716536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CF5D76"/>
    <w:multiLevelType w:val="hybridMultilevel"/>
    <w:tmpl w:val="74901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C13841"/>
    <w:multiLevelType w:val="hybridMultilevel"/>
    <w:tmpl w:val="BA20F7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02C47"/>
    <w:multiLevelType w:val="hybridMultilevel"/>
    <w:tmpl w:val="C91818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95028C3"/>
    <w:multiLevelType w:val="hybridMultilevel"/>
    <w:tmpl w:val="8B802FFC"/>
    <w:lvl w:ilvl="0" w:tplc="35624E3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487587"/>
    <w:multiLevelType w:val="hybridMultilevel"/>
    <w:tmpl w:val="32AC4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E1EAB"/>
    <w:multiLevelType w:val="hybridMultilevel"/>
    <w:tmpl w:val="8442432C"/>
    <w:lvl w:ilvl="0" w:tplc="A9A2227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2B5837"/>
    <w:multiLevelType w:val="hybridMultilevel"/>
    <w:tmpl w:val="2A5C8392"/>
    <w:lvl w:ilvl="0" w:tplc="B654278A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2893DC7"/>
    <w:multiLevelType w:val="hybridMultilevel"/>
    <w:tmpl w:val="89EE0E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9"/>
  </w:num>
  <w:num w:numId="6">
    <w:abstractNumId w:val="22"/>
  </w:num>
  <w:num w:numId="7">
    <w:abstractNumId w:val="2"/>
  </w:num>
  <w:num w:numId="8">
    <w:abstractNumId w:val="0"/>
  </w:num>
  <w:num w:numId="9">
    <w:abstractNumId w:val="4"/>
  </w:num>
  <w:num w:numId="10">
    <w:abstractNumId w:val="15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18"/>
  </w:num>
  <w:num w:numId="16">
    <w:abstractNumId w:val="3"/>
  </w:num>
  <w:num w:numId="17">
    <w:abstractNumId w:val="14"/>
  </w:num>
  <w:num w:numId="18">
    <w:abstractNumId w:val="21"/>
  </w:num>
  <w:num w:numId="19">
    <w:abstractNumId w:val="11"/>
  </w:num>
  <w:num w:numId="20">
    <w:abstractNumId w:val="10"/>
  </w:num>
  <w:num w:numId="21">
    <w:abstractNumId w:val="24"/>
  </w:num>
  <w:num w:numId="22">
    <w:abstractNumId w:val="19"/>
  </w:num>
  <w:num w:numId="23">
    <w:abstractNumId w:val="17"/>
  </w:num>
  <w:num w:numId="24">
    <w:abstractNumId w:val="1"/>
  </w:num>
  <w:num w:numId="25">
    <w:abstractNumId w:val="16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6CAF"/>
    <w:rsid w:val="00081F5C"/>
    <w:rsid w:val="00096B46"/>
    <w:rsid w:val="000A0416"/>
    <w:rsid w:val="000C778F"/>
    <w:rsid w:val="000F2B26"/>
    <w:rsid w:val="000F2BB2"/>
    <w:rsid w:val="00126325"/>
    <w:rsid w:val="00174AC5"/>
    <w:rsid w:val="00187CCD"/>
    <w:rsid w:val="001A14CD"/>
    <w:rsid w:val="001C528C"/>
    <w:rsid w:val="001D530D"/>
    <w:rsid w:val="001F1B28"/>
    <w:rsid w:val="001F347B"/>
    <w:rsid w:val="001F6229"/>
    <w:rsid w:val="0020437B"/>
    <w:rsid w:val="00213C82"/>
    <w:rsid w:val="00231220"/>
    <w:rsid w:val="00243C29"/>
    <w:rsid w:val="002B6A34"/>
    <w:rsid w:val="002D1E26"/>
    <w:rsid w:val="002F17E8"/>
    <w:rsid w:val="002F3406"/>
    <w:rsid w:val="003000CA"/>
    <w:rsid w:val="00301EAF"/>
    <w:rsid w:val="0036441A"/>
    <w:rsid w:val="00391A83"/>
    <w:rsid w:val="003947D2"/>
    <w:rsid w:val="00395358"/>
    <w:rsid w:val="003E0398"/>
    <w:rsid w:val="003E1E6D"/>
    <w:rsid w:val="003F6D59"/>
    <w:rsid w:val="004106E6"/>
    <w:rsid w:val="0042719D"/>
    <w:rsid w:val="00442E07"/>
    <w:rsid w:val="00454539"/>
    <w:rsid w:val="0047501D"/>
    <w:rsid w:val="004811C1"/>
    <w:rsid w:val="00484BCF"/>
    <w:rsid w:val="00496B65"/>
    <w:rsid w:val="004A0141"/>
    <w:rsid w:val="004B392C"/>
    <w:rsid w:val="004B45D2"/>
    <w:rsid w:val="004D7DD7"/>
    <w:rsid w:val="004E3592"/>
    <w:rsid w:val="0051364F"/>
    <w:rsid w:val="00515398"/>
    <w:rsid w:val="005339F5"/>
    <w:rsid w:val="00553009"/>
    <w:rsid w:val="00556284"/>
    <w:rsid w:val="00571BDD"/>
    <w:rsid w:val="00572C4F"/>
    <w:rsid w:val="005A4050"/>
    <w:rsid w:val="005B4F9A"/>
    <w:rsid w:val="005E2FC2"/>
    <w:rsid w:val="005E33A6"/>
    <w:rsid w:val="005E4DB6"/>
    <w:rsid w:val="0061640C"/>
    <w:rsid w:val="006235FA"/>
    <w:rsid w:val="00623B31"/>
    <w:rsid w:val="00676B38"/>
    <w:rsid w:val="0068661C"/>
    <w:rsid w:val="006A31F7"/>
    <w:rsid w:val="00732FC9"/>
    <w:rsid w:val="00761735"/>
    <w:rsid w:val="00764BC6"/>
    <w:rsid w:val="007A64BB"/>
    <w:rsid w:val="007C0412"/>
    <w:rsid w:val="007D0318"/>
    <w:rsid w:val="007F6BFE"/>
    <w:rsid w:val="008163F3"/>
    <w:rsid w:val="00823708"/>
    <w:rsid w:val="008478D6"/>
    <w:rsid w:val="00857986"/>
    <w:rsid w:val="00872D7A"/>
    <w:rsid w:val="00883D3A"/>
    <w:rsid w:val="00884840"/>
    <w:rsid w:val="0088538A"/>
    <w:rsid w:val="008924BE"/>
    <w:rsid w:val="00896714"/>
    <w:rsid w:val="008B1F89"/>
    <w:rsid w:val="008D2F84"/>
    <w:rsid w:val="008E15A3"/>
    <w:rsid w:val="008F1023"/>
    <w:rsid w:val="009007C0"/>
    <w:rsid w:val="00914B44"/>
    <w:rsid w:val="00916A2D"/>
    <w:rsid w:val="009425A7"/>
    <w:rsid w:val="00942889"/>
    <w:rsid w:val="009643DE"/>
    <w:rsid w:val="00975A4D"/>
    <w:rsid w:val="00976175"/>
    <w:rsid w:val="009761CA"/>
    <w:rsid w:val="009B15ED"/>
    <w:rsid w:val="009B1BA7"/>
    <w:rsid w:val="009B3283"/>
    <w:rsid w:val="009B609F"/>
    <w:rsid w:val="009E2A92"/>
    <w:rsid w:val="00A256E3"/>
    <w:rsid w:val="00A47E7D"/>
    <w:rsid w:val="00A558D5"/>
    <w:rsid w:val="00A81391"/>
    <w:rsid w:val="00AC22A9"/>
    <w:rsid w:val="00AC5DDA"/>
    <w:rsid w:val="00B06322"/>
    <w:rsid w:val="00B2522C"/>
    <w:rsid w:val="00B267B3"/>
    <w:rsid w:val="00B3525C"/>
    <w:rsid w:val="00B54C96"/>
    <w:rsid w:val="00B60562"/>
    <w:rsid w:val="00B851E9"/>
    <w:rsid w:val="00BD1137"/>
    <w:rsid w:val="00C04ADB"/>
    <w:rsid w:val="00C135FB"/>
    <w:rsid w:val="00C15048"/>
    <w:rsid w:val="00C25A53"/>
    <w:rsid w:val="00C65CFA"/>
    <w:rsid w:val="00C93652"/>
    <w:rsid w:val="00CA659A"/>
    <w:rsid w:val="00CA7F7B"/>
    <w:rsid w:val="00CE08BB"/>
    <w:rsid w:val="00CE6D86"/>
    <w:rsid w:val="00CE7ED5"/>
    <w:rsid w:val="00D03163"/>
    <w:rsid w:val="00D0573C"/>
    <w:rsid w:val="00D330B9"/>
    <w:rsid w:val="00D50F52"/>
    <w:rsid w:val="00D52302"/>
    <w:rsid w:val="00D77F65"/>
    <w:rsid w:val="00DD3E29"/>
    <w:rsid w:val="00E03ADF"/>
    <w:rsid w:val="00E2197E"/>
    <w:rsid w:val="00E62B88"/>
    <w:rsid w:val="00E6461B"/>
    <w:rsid w:val="00E858E6"/>
    <w:rsid w:val="00EA2C81"/>
    <w:rsid w:val="00EA5F2A"/>
    <w:rsid w:val="00EA68E8"/>
    <w:rsid w:val="00EB217A"/>
    <w:rsid w:val="00EC20A5"/>
    <w:rsid w:val="00EC2F67"/>
    <w:rsid w:val="00EE05CC"/>
    <w:rsid w:val="00EE63AD"/>
    <w:rsid w:val="00EF7522"/>
    <w:rsid w:val="00F065AB"/>
    <w:rsid w:val="00F07809"/>
    <w:rsid w:val="00F56F84"/>
    <w:rsid w:val="00F73685"/>
    <w:rsid w:val="00F91F96"/>
    <w:rsid w:val="00F97538"/>
    <w:rsid w:val="00FB2580"/>
    <w:rsid w:val="00FC3E21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aliases w:val="List Paragraph,Булит,Маркер,Bullet Number,Нумерованый список,List Paragraph1,Bullet List,FooterText,numbered,lp1,название,Paragraphe de liste1,Bullet 1,Use Case List Paragraph,Абзац списка 2,ПАРАГРАФ,список 1,ТЗ список,Абзац списка основной"/>
    <w:basedOn w:val="a"/>
    <w:link w:val="a6"/>
    <w:uiPriority w:val="34"/>
    <w:qFormat/>
    <w:rsid w:val="009E2A92"/>
    <w:pPr>
      <w:ind w:left="708"/>
    </w:pPr>
  </w:style>
  <w:style w:type="paragraph" w:styleId="a7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8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9">
    <w:name w:val="Без интервала Знак"/>
    <w:aliases w:val="Мой Знак"/>
    <w:link w:val="aa"/>
    <w:locked/>
    <w:rsid w:val="00E6461B"/>
    <w:rPr>
      <w:rFonts w:ascii="Calibri" w:hAnsi="Calibri" w:cs="Calibri"/>
      <w:lang w:eastAsia="ar-SA"/>
    </w:rPr>
  </w:style>
  <w:style w:type="paragraph" w:styleId="aa">
    <w:name w:val="No Spacing"/>
    <w:aliases w:val="Мой"/>
    <w:link w:val="a9"/>
    <w:uiPriority w:val="1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b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4B392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B39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91F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1F9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000CA"/>
  </w:style>
  <w:style w:type="paragraph" w:customStyle="1" w:styleId="ConsPlusNonformat">
    <w:name w:val="ConsPlusNonformat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00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00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6-1">
    <w:name w:val="6.Табл.-1уровень"/>
    <w:basedOn w:val="a"/>
    <w:link w:val="6-10"/>
    <w:qFormat/>
    <w:rsid w:val="003000CA"/>
    <w:pPr>
      <w:widowControl w:val="0"/>
      <w:spacing w:before="20"/>
      <w:ind w:left="170" w:hanging="113"/>
    </w:pPr>
    <w:rPr>
      <w:sz w:val="16"/>
    </w:rPr>
  </w:style>
  <w:style w:type="character" w:customStyle="1" w:styleId="6-10">
    <w:name w:val="6.Табл.-1уровень Знак"/>
    <w:basedOn w:val="a0"/>
    <w:link w:val="6-1"/>
    <w:rsid w:val="003000C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-">
    <w:name w:val="6.Табл.-данные"/>
    <w:basedOn w:val="6-1"/>
    <w:qFormat/>
    <w:rsid w:val="003000CA"/>
    <w:pPr>
      <w:suppressAutoHyphens/>
      <w:spacing w:before="0"/>
      <w:ind w:left="0" w:right="57" w:firstLine="0"/>
      <w:jc w:val="right"/>
    </w:pPr>
  </w:style>
  <w:style w:type="paragraph" w:customStyle="1" w:styleId="af2">
    <w:name w:val="_Таблица текст компактный"/>
    <w:basedOn w:val="a"/>
    <w:link w:val="af3"/>
    <w:qFormat/>
    <w:rsid w:val="003000CA"/>
    <w:rPr>
      <w:rFonts w:eastAsia="Calibri"/>
      <w:sz w:val="24"/>
      <w:szCs w:val="24"/>
    </w:rPr>
  </w:style>
  <w:style w:type="character" w:customStyle="1" w:styleId="af3">
    <w:name w:val="_Таблица текст компактный Знак"/>
    <w:link w:val="af2"/>
    <w:rsid w:val="003000C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List Paragraph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,ПАРАГРАФ Знак"/>
    <w:link w:val="a5"/>
    <w:uiPriority w:val="34"/>
    <w:qFormat/>
    <w:rsid w:val="0030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rsid w:val="00300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3000CA"/>
    <w:rPr>
      <w:i/>
      <w:iCs/>
    </w:rPr>
  </w:style>
  <w:style w:type="paragraph" w:customStyle="1" w:styleId="af5">
    <w:name w:val="_Обычный"/>
    <w:link w:val="af6"/>
    <w:qFormat/>
    <w:rsid w:val="003000CA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_Обычный Знак"/>
    <w:link w:val="af5"/>
    <w:rsid w:val="003000CA"/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_Аннотация"/>
    <w:basedOn w:val="2"/>
    <w:next w:val="af5"/>
    <w:link w:val="af8"/>
    <w:qFormat/>
    <w:rsid w:val="003000CA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aps/>
      <w:color w:val="auto"/>
      <w:sz w:val="28"/>
      <w:szCs w:val="30"/>
      <w:lang w:val="x-none" w:eastAsia="en-US"/>
    </w:rPr>
  </w:style>
  <w:style w:type="character" w:customStyle="1" w:styleId="af8">
    <w:name w:val="_Аннотация Знак"/>
    <w:link w:val="af7"/>
    <w:rsid w:val="003000CA"/>
    <w:rPr>
      <w:rFonts w:ascii="Times New Roman" w:eastAsia="Times New Roman" w:hAnsi="Times New Roman" w:cs="Times New Roman"/>
      <w:caps/>
      <w:sz w:val="28"/>
      <w:szCs w:val="30"/>
      <w:lang w:val="x-none"/>
    </w:rPr>
  </w:style>
  <w:style w:type="character" w:styleId="af9">
    <w:name w:val="Hyperlink"/>
    <w:basedOn w:val="a0"/>
    <w:uiPriority w:val="99"/>
    <w:unhideWhenUsed/>
    <w:rsid w:val="003000CA"/>
    <w:rPr>
      <w:color w:val="0000FF" w:themeColor="hyperlink"/>
      <w:u w:val="single"/>
    </w:rPr>
  </w:style>
  <w:style w:type="paragraph" w:customStyle="1" w:styleId="afa">
    <w:name w:val="Знак"/>
    <w:basedOn w:val="a"/>
    <w:uiPriority w:val="99"/>
    <w:qFormat/>
    <w:rsid w:val="003000C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b">
    <w:name w:val="header"/>
    <w:basedOn w:val="a"/>
    <w:link w:val="afc"/>
    <w:uiPriority w:val="99"/>
    <w:unhideWhenUsed/>
    <w:rsid w:val="003000C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basedOn w:val="a0"/>
    <w:link w:val="afb"/>
    <w:uiPriority w:val="99"/>
    <w:rsid w:val="003000CA"/>
  </w:style>
  <w:style w:type="paragraph" w:styleId="afd">
    <w:name w:val="Intense Quote"/>
    <w:basedOn w:val="a"/>
    <w:next w:val="a"/>
    <w:link w:val="afe"/>
    <w:uiPriority w:val="30"/>
    <w:qFormat/>
    <w:rsid w:val="003000C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3000CA"/>
    <w:rPr>
      <w:b/>
      <w:bCs/>
      <w:i/>
      <w:iCs/>
      <w:color w:val="4F81BD" w:themeColor="accent1"/>
    </w:rPr>
  </w:style>
  <w:style w:type="paragraph" w:customStyle="1" w:styleId="CEC00D05F4354E1094F28D836D46DBBF">
    <w:name w:val="CEC00D05F4354E1094F28D836D46DBBF"/>
    <w:rsid w:val="003000CA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00C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00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aliases w:val="List Paragraph,Булит,Маркер,Bullet Number,Нумерованый список,List Paragraph1,Bullet List,FooterText,numbered,lp1,название,Paragraphe de liste1,Bullet 1,Use Case List Paragraph,Абзац списка 2,ПАРАГРАФ,список 1,ТЗ список,Абзац списка основной"/>
    <w:basedOn w:val="a"/>
    <w:link w:val="a6"/>
    <w:uiPriority w:val="34"/>
    <w:qFormat/>
    <w:rsid w:val="009E2A92"/>
    <w:pPr>
      <w:ind w:left="708"/>
    </w:pPr>
  </w:style>
  <w:style w:type="paragraph" w:styleId="a7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8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9">
    <w:name w:val="Без интервала Знак"/>
    <w:aliases w:val="Мой Знак"/>
    <w:link w:val="aa"/>
    <w:locked/>
    <w:rsid w:val="00E6461B"/>
    <w:rPr>
      <w:rFonts w:ascii="Calibri" w:hAnsi="Calibri" w:cs="Calibri"/>
      <w:lang w:eastAsia="ar-SA"/>
    </w:rPr>
  </w:style>
  <w:style w:type="paragraph" w:styleId="aa">
    <w:name w:val="No Spacing"/>
    <w:aliases w:val="Мой"/>
    <w:link w:val="a9"/>
    <w:uiPriority w:val="1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b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4B392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B39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91F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1F9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000CA"/>
  </w:style>
  <w:style w:type="paragraph" w:customStyle="1" w:styleId="ConsPlusNonformat">
    <w:name w:val="ConsPlusNonformat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00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00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6-1">
    <w:name w:val="6.Табл.-1уровень"/>
    <w:basedOn w:val="a"/>
    <w:link w:val="6-10"/>
    <w:qFormat/>
    <w:rsid w:val="003000CA"/>
    <w:pPr>
      <w:widowControl w:val="0"/>
      <w:spacing w:before="20"/>
      <w:ind w:left="170" w:hanging="113"/>
    </w:pPr>
    <w:rPr>
      <w:sz w:val="16"/>
    </w:rPr>
  </w:style>
  <w:style w:type="character" w:customStyle="1" w:styleId="6-10">
    <w:name w:val="6.Табл.-1уровень Знак"/>
    <w:basedOn w:val="a0"/>
    <w:link w:val="6-1"/>
    <w:rsid w:val="003000C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-">
    <w:name w:val="6.Табл.-данные"/>
    <w:basedOn w:val="6-1"/>
    <w:qFormat/>
    <w:rsid w:val="003000CA"/>
    <w:pPr>
      <w:suppressAutoHyphens/>
      <w:spacing w:before="0"/>
      <w:ind w:left="0" w:right="57" w:firstLine="0"/>
      <w:jc w:val="right"/>
    </w:pPr>
  </w:style>
  <w:style w:type="paragraph" w:customStyle="1" w:styleId="af2">
    <w:name w:val="_Таблица текст компактный"/>
    <w:basedOn w:val="a"/>
    <w:link w:val="af3"/>
    <w:qFormat/>
    <w:rsid w:val="003000CA"/>
    <w:rPr>
      <w:rFonts w:eastAsia="Calibri"/>
      <w:sz w:val="24"/>
      <w:szCs w:val="24"/>
    </w:rPr>
  </w:style>
  <w:style w:type="character" w:customStyle="1" w:styleId="af3">
    <w:name w:val="_Таблица текст компактный Знак"/>
    <w:link w:val="af2"/>
    <w:rsid w:val="003000C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List Paragraph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,ПАРАГРАФ Знак"/>
    <w:link w:val="a5"/>
    <w:uiPriority w:val="34"/>
    <w:qFormat/>
    <w:rsid w:val="0030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rsid w:val="00300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3000CA"/>
    <w:rPr>
      <w:i/>
      <w:iCs/>
    </w:rPr>
  </w:style>
  <w:style w:type="paragraph" w:customStyle="1" w:styleId="af5">
    <w:name w:val="_Обычный"/>
    <w:link w:val="af6"/>
    <w:qFormat/>
    <w:rsid w:val="003000CA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_Обычный Знак"/>
    <w:link w:val="af5"/>
    <w:rsid w:val="003000CA"/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_Аннотация"/>
    <w:basedOn w:val="2"/>
    <w:next w:val="af5"/>
    <w:link w:val="af8"/>
    <w:qFormat/>
    <w:rsid w:val="003000CA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aps/>
      <w:color w:val="auto"/>
      <w:sz w:val="28"/>
      <w:szCs w:val="30"/>
      <w:lang w:val="x-none" w:eastAsia="en-US"/>
    </w:rPr>
  </w:style>
  <w:style w:type="character" w:customStyle="1" w:styleId="af8">
    <w:name w:val="_Аннотация Знак"/>
    <w:link w:val="af7"/>
    <w:rsid w:val="003000CA"/>
    <w:rPr>
      <w:rFonts w:ascii="Times New Roman" w:eastAsia="Times New Roman" w:hAnsi="Times New Roman" w:cs="Times New Roman"/>
      <w:caps/>
      <w:sz w:val="28"/>
      <w:szCs w:val="30"/>
      <w:lang w:val="x-none"/>
    </w:rPr>
  </w:style>
  <w:style w:type="character" w:styleId="af9">
    <w:name w:val="Hyperlink"/>
    <w:basedOn w:val="a0"/>
    <w:uiPriority w:val="99"/>
    <w:unhideWhenUsed/>
    <w:rsid w:val="003000CA"/>
    <w:rPr>
      <w:color w:val="0000FF" w:themeColor="hyperlink"/>
      <w:u w:val="single"/>
    </w:rPr>
  </w:style>
  <w:style w:type="paragraph" w:customStyle="1" w:styleId="afa">
    <w:name w:val="Знак"/>
    <w:basedOn w:val="a"/>
    <w:uiPriority w:val="99"/>
    <w:qFormat/>
    <w:rsid w:val="003000C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b">
    <w:name w:val="header"/>
    <w:basedOn w:val="a"/>
    <w:link w:val="afc"/>
    <w:uiPriority w:val="99"/>
    <w:unhideWhenUsed/>
    <w:rsid w:val="003000C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basedOn w:val="a0"/>
    <w:link w:val="afb"/>
    <w:uiPriority w:val="99"/>
    <w:rsid w:val="003000CA"/>
  </w:style>
  <w:style w:type="paragraph" w:styleId="afd">
    <w:name w:val="Intense Quote"/>
    <w:basedOn w:val="a"/>
    <w:next w:val="a"/>
    <w:link w:val="afe"/>
    <w:uiPriority w:val="30"/>
    <w:qFormat/>
    <w:rsid w:val="003000C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3000CA"/>
    <w:rPr>
      <w:b/>
      <w:bCs/>
      <w:i/>
      <w:iCs/>
      <w:color w:val="4F81BD" w:themeColor="accent1"/>
    </w:rPr>
  </w:style>
  <w:style w:type="paragraph" w:customStyle="1" w:styleId="CEC00D05F4354E1094F28D836D46DBBF">
    <w:name w:val="CEC00D05F4354E1094F28D836D46DBBF"/>
    <w:rsid w:val="003000CA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00C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00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96&amp;n=222946&amp;dst=10001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9977" TargetMode="External"/><Relationship Id="rId17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mogouht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11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28211&amp;dst=100009" TargetMode="External"/><Relationship Id="rId10" Type="http://schemas.openxmlformats.org/officeDocument/2006/relationships/hyperlink" Target="file:///C:\Users\user148\AppData\Local\Temp\mainsrv\directum_meria_work\%20&#1055;&#1088;%20&#1056;&#1077;&#1096;%20&#1086;%20&#1087;&#1088;&#1086;&#1074;&#1077;&#1076;%20&#1087;&#1091;&#1073;&#1083;&#1080;&#1095;&#1085;%20&#1089;&#1083;&#1091;&#1096;%20&#1087;&#1086;%20&#1057;&#1090;&#1088;&#1072;&#1090;&#1077;&#1075;&#1080;&#1080;%20(2678988%20v1).DOCX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LAW096&amp;n=214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FF734-832A-4037-95FD-7056D59B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39</Pages>
  <Words>16465</Words>
  <Characters>93853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27</cp:revision>
  <cp:lastPrinted>2025-05-06T08:13:00Z</cp:lastPrinted>
  <dcterms:created xsi:type="dcterms:W3CDTF">2025-05-06T08:14:00Z</dcterms:created>
  <dcterms:modified xsi:type="dcterms:W3CDTF">2025-08-29T07:21:00Z</dcterms:modified>
</cp:coreProperties>
</file>